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30DE" w:rsidRDefault="004730E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6863A4" w:rsidRPr="006863A4">
        <w:rPr>
          <w:rFonts w:ascii="Arial" w:hAnsi="Arial" w:cs="Arial"/>
          <w:b/>
          <w:bCs/>
          <w:sz w:val="22"/>
          <w:szCs w:val="22"/>
        </w:rPr>
        <w:t>R1-2005467</w:t>
      </w:r>
    </w:p>
    <w:p w:rsidR="004730DE" w:rsidRDefault="004730EB">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August</w:t>
      </w:r>
      <w:r>
        <w:rPr>
          <w:rFonts w:ascii="Arial" w:hAnsi="Arial" w:cs="Arial" w:hint="eastAsia"/>
          <w:b/>
          <w:bCs/>
          <w:sz w:val="22"/>
          <w:szCs w:val="22"/>
          <w:lang w:eastAsia="ja-JP"/>
        </w:rPr>
        <w:t xml:space="preserve"> </w:t>
      </w:r>
      <w:r>
        <w:rPr>
          <w:rFonts w:ascii="Arial" w:hAnsi="Arial" w:cs="Arial" w:hint="eastAsia"/>
          <w:b/>
          <w:bCs/>
          <w:sz w:val="22"/>
          <w:szCs w:val="22"/>
        </w:rPr>
        <w:t>17</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28</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4730DE" w:rsidRDefault="004730DE">
      <w:pPr>
        <w:tabs>
          <w:tab w:val="center" w:pos="4536"/>
          <w:tab w:val="right" w:pos="9639"/>
        </w:tabs>
        <w:spacing w:beforeLines="0" w:after="120" w:line="240" w:lineRule="auto"/>
        <w:ind w:right="2"/>
        <w:rPr>
          <w:rFonts w:ascii="Arial" w:hAnsi="Arial" w:cs="Arial"/>
          <w:b/>
          <w:bCs/>
          <w:sz w:val="22"/>
          <w:szCs w:val="22"/>
        </w:rPr>
      </w:pPr>
    </w:p>
    <w:p w:rsidR="004730DE" w:rsidRDefault="004730EB" w:rsidP="00745486">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Enhancements to the </w:t>
      </w:r>
      <w:r w:rsidR="0000243D">
        <w:rPr>
          <w:rFonts w:ascii="Arial" w:hAnsi="Arial"/>
          <w:b/>
          <w:sz w:val="22"/>
          <w:szCs w:val="22"/>
        </w:rPr>
        <w:t xml:space="preserve">IAB </w:t>
      </w:r>
      <w:r w:rsidR="0000243D">
        <w:rPr>
          <w:rFonts w:ascii="Arial" w:hAnsi="Arial" w:hint="eastAsia"/>
          <w:b/>
          <w:sz w:val="22"/>
          <w:szCs w:val="22"/>
        </w:rPr>
        <w:t>resource multiplexing</w:t>
      </w:r>
    </w:p>
    <w:p w:rsidR="004730DE" w:rsidRDefault="004730E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4730DE" w:rsidRDefault="004730E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8.10.1</w:t>
      </w:r>
    </w:p>
    <w:p w:rsidR="004730DE" w:rsidRDefault="004730E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4730DE" w:rsidRDefault="004730EB">
      <w:pPr>
        <w:pStyle w:val="Heading1"/>
        <w:spacing w:before="120" w:after="120"/>
        <w:ind w:left="0"/>
        <w:rPr>
          <w:rFonts w:eastAsia="SimSun"/>
        </w:rPr>
      </w:pPr>
      <w:r>
        <w:rPr>
          <w:rFonts w:eastAsia="SimSun" w:hint="eastAsia"/>
        </w:rPr>
        <w:t>Introduction</w:t>
      </w:r>
    </w:p>
    <w:p w:rsidR="004730DE" w:rsidRDefault="004730EB">
      <w:pPr>
        <w:spacing w:before="120" w:after="120"/>
        <w:rPr>
          <w:sz w:val="20"/>
        </w:rPr>
      </w:pPr>
      <w:r>
        <w:rPr>
          <w:sz w:val="20"/>
        </w:rPr>
        <w:t xml:space="preserve">This contribution discusses </w:t>
      </w:r>
      <w:r>
        <w:rPr>
          <w:rFonts w:hint="eastAsia"/>
          <w:sz w:val="20"/>
        </w:rPr>
        <w:t xml:space="preserve">some issues related to FDM/SDM </w:t>
      </w:r>
      <w:r>
        <w:rPr>
          <w:sz w:val="20"/>
        </w:rPr>
        <w:t>multiplexing</w:t>
      </w:r>
      <w:r>
        <w:rPr>
          <w:rFonts w:hint="eastAsia"/>
          <w:sz w:val="20"/>
        </w:rPr>
        <w:t xml:space="preserve"> for IAB node</w:t>
      </w:r>
      <w:r>
        <w:rPr>
          <w:rFonts w:hint="eastAsia"/>
          <w:sz w:val="20"/>
          <w:szCs w:val="22"/>
        </w:rPr>
        <w:t xml:space="preserve">. </w:t>
      </w:r>
    </w:p>
    <w:p w:rsidR="004730DE" w:rsidRDefault="004730EB">
      <w:pPr>
        <w:pStyle w:val="Heading1"/>
        <w:spacing w:before="120" w:after="120"/>
        <w:ind w:left="0"/>
        <w:rPr>
          <w:szCs w:val="22"/>
        </w:rPr>
      </w:pPr>
      <w:r>
        <w:rPr>
          <w:rFonts w:eastAsia="SimSun" w:hint="eastAsia"/>
          <w:szCs w:val="22"/>
        </w:rPr>
        <w:t>Discussion</w:t>
      </w:r>
    </w:p>
    <w:p w:rsidR="004C5B08" w:rsidRDefault="004730EB" w:rsidP="00243A33">
      <w:pPr>
        <w:spacing w:beforeLines="0" w:afterLines="0" w:line="259" w:lineRule="auto"/>
        <w:rPr>
          <w:sz w:val="20"/>
        </w:rPr>
      </w:pPr>
      <w:r>
        <w:rPr>
          <w:rFonts w:hint="eastAsia"/>
          <w:sz w:val="20"/>
        </w:rPr>
        <w:t xml:space="preserve">In Rel-16, IAB specifications mainly focus on TDM </w:t>
      </w:r>
      <w:r>
        <w:rPr>
          <w:sz w:val="20"/>
        </w:rPr>
        <w:t>between parent link and child link</w:t>
      </w:r>
      <w:r>
        <w:rPr>
          <w:rFonts w:hint="eastAsia"/>
          <w:sz w:val="20"/>
        </w:rPr>
        <w:t xml:space="preserve"> with consideration for forward compatibility for potential support of FDM/SDM.</w:t>
      </w:r>
      <w:r>
        <w:rPr>
          <w:sz w:val="20"/>
        </w:rPr>
        <w:t xml:space="preserve"> </w:t>
      </w:r>
      <w:r w:rsidR="004C5B08">
        <w:rPr>
          <w:sz w:val="20"/>
        </w:rPr>
        <w:t>D</w:t>
      </w:r>
      <w:r w:rsidR="004C5B08">
        <w:rPr>
          <w:rFonts w:hint="eastAsia"/>
          <w:sz w:val="20"/>
        </w:rPr>
        <w:t xml:space="preserve">ue to the network-wide implications of half duplexing constraint, IAB-DU resource can be configured semi-statically as D/F/U and H/S/NA by CU in the time domain, availability of the soft resources configured by CU can be further indicated by the parent node through DCI format 2_5. </w:t>
      </w:r>
      <w:r w:rsidR="004C5B08">
        <w:rPr>
          <w:sz w:val="20"/>
        </w:rPr>
        <w:t>Meanwhile</w:t>
      </w:r>
      <w:r w:rsidR="004C5B08">
        <w:rPr>
          <w:rFonts w:hint="eastAsia"/>
          <w:sz w:val="20"/>
        </w:rPr>
        <w:t xml:space="preserve">, </w:t>
      </w:r>
      <w:r w:rsidR="003846AA">
        <w:rPr>
          <w:sz w:val="20"/>
        </w:rPr>
        <w:t xml:space="preserve">it is not considered in Rel-16 </w:t>
      </w:r>
      <w:r w:rsidR="004C5B08">
        <w:rPr>
          <w:rFonts w:hint="eastAsia"/>
          <w:sz w:val="20"/>
        </w:rPr>
        <w:t xml:space="preserve">whether </w:t>
      </w:r>
      <w:r w:rsidR="004C5B08">
        <w:rPr>
          <w:sz w:val="20"/>
        </w:rPr>
        <w:t>and</w:t>
      </w:r>
      <w:r w:rsidR="004C5B08">
        <w:rPr>
          <w:rFonts w:hint="eastAsia"/>
          <w:sz w:val="20"/>
        </w:rPr>
        <w:t xml:space="preserve"> how to divide frequency</w:t>
      </w:r>
      <w:r w:rsidR="004C5B08">
        <w:rPr>
          <w:sz w:val="20"/>
        </w:rPr>
        <w:t xml:space="preserve">-domain </w:t>
      </w:r>
      <w:r w:rsidR="004C5B08">
        <w:rPr>
          <w:rFonts w:hint="eastAsia"/>
          <w:sz w:val="20"/>
        </w:rPr>
        <w:t>resources bet</w:t>
      </w:r>
      <w:r w:rsidR="003846AA">
        <w:rPr>
          <w:rFonts w:hint="eastAsia"/>
          <w:sz w:val="20"/>
        </w:rPr>
        <w:t>ween parent link and child link</w:t>
      </w:r>
      <w:r w:rsidR="004C5B08">
        <w:rPr>
          <w:rFonts w:hint="eastAsia"/>
          <w:sz w:val="20"/>
        </w:rPr>
        <w:t>.</w:t>
      </w:r>
    </w:p>
    <w:p w:rsidR="004730DE" w:rsidRDefault="004730EB" w:rsidP="00243A33">
      <w:pPr>
        <w:spacing w:beforeLines="0" w:afterLines="0" w:line="259" w:lineRule="auto"/>
        <w:rPr>
          <w:sz w:val="20"/>
        </w:rPr>
      </w:pPr>
      <w:r>
        <w:rPr>
          <w:sz w:val="20"/>
        </w:rPr>
        <w:t>In Rel-17 IAB</w:t>
      </w:r>
      <w:r>
        <w:rPr>
          <w:rFonts w:hint="eastAsia"/>
          <w:sz w:val="20"/>
        </w:rPr>
        <w:t xml:space="preserve"> WID</w:t>
      </w:r>
      <w:r>
        <w:rPr>
          <w:sz w:val="20"/>
        </w:rPr>
        <w:t xml:space="preserve"> </w:t>
      </w:r>
      <w:r>
        <w:rPr>
          <w:rFonts w:hint="eastAsia"/>
          <w:sz w:val="20"/>
        </w:rPr>
        <w:t xml:space="preserve">[1], one of new functionalities </w:t>
      </w:r>
      <w:r>
        <w:rPr>
          <w:sz w:val="20"/>
        </w:rPr>
        <w:t>is the</w:t>
      </w:r>
      <w:r>
        <w:rPr>
          <w:rFonts w:hint="eastAsia"/>
          <w:sz w:val="20"/>
        </w:rPr>
        <w:t xml:space="preserve"> duplexing enhancements through simultaneous transmissions and/or reception on </w:t>
      </w:r>
      <w:r>
        <w:rPr>
          <w:sz w:val="20"/>
        </w:rPr>
        <w:t>parent link and child link</w:t>
      </w:r>
      <w:r>
        <w:rPr>
          <w:rFonts w:hint="eastAsia"/>
          <w:sz w:val="20"/>
        </w:rPr>
        <w:t>.</w:t>
      </w:r>
      <w:r w:rsidR="004C5B08">
        <w:rPr>
          <w:sz w:val="20"/>
        </w:rPr>
        <w:t xml:space="preserve"> </w:t>
      </w:r>
      <w:r>
        <w:rPr>
          <w:rFonts w:hint="eastAsia"/>
          <w:sz w:val="20"/>
        </w:rPr>
        <w:t>For an IAB node, when parent link and child link are multiplexed in FDM/SDM manner, it is necessary to ensure that the parent link re</w:t>
      </w:r>
      <w:r w:rsidR="004C5B08">
        <w:rPr>
          <w:rFonts w:hint="eastAsia"/>
          <w:sz w:val="20"/>
        </w:rPr>
        <w:t xml:space="preserve">sources scheduled by parent </w:t>
      </w:r>
      <w:r w:rsidR="004C5B08">
        <w:rPr>
          <w:sz w:val="20"/>
        </w:rPr>
        <w:t>DU</w:t>
      </w:r>
      <w:r>
        <w:rPr>
          <w:rFonts w:hint="eastAsia"/>
          <w:sz w:val="20"/>
        </w:rPr>
        <w:t xml:space="preserve"> and child link resources scheduled by IAB-DU are orthogonal in order to avoid mutual interference.</w:t>
      </w:r>
    </w:p>
    <w:p w:rsidR="004730DE" w:rsidRDefault="004730EB" w:rsidP="00243A33">
      <w:pPr>
        <w:spacing w:beforeLines="0" w:afterLines="0" w:line="259" w:lineRule="auto"/>
        <w:rPr>
          <w:sz w:val="20"/>
        </w:rPr>
      </w:pPr>
      <w:r>
        <w:rPr>
          <w:sz w:val="20"/>
        </w:rPr>
        <w:t xml:space="preserve">The semi-static </w:t>
      </w:r>
      <w:r>
        <w:rPr>
          <w:rFonts w:hint="eastAsia"/>
          <w:sz w:val="20"/>
        </w:rPr>
        <w:t xml:space="preserve">frequency </w:t>
      </w:r>
      <w:r>
        <w:rPr>
          <w:sz w:val="20"/>
        </w:rPr>
        <w:t>resource partitioning scheme can be implemented using a centralized approach</w:t>
      </w:r>
      <w:r>
        <w:rPr>
          <w:rFonts w:hint="eastAsia"/>
          <w:sz w:val="20"/>
        </w:rPr>
        <w:t xml:space="preserve"> similar as H/S/NA configuration by CU in the time domain.</w:t>
      </w:r>
    </w:p>
    <w:p w:rsidR="004730DE" w:rsidRDefault="004730EB" w:rsidP="00243A33">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1</w:t>
      </w:r>
      <w:r>
        <w:rPr>
          <w:rFonts w:eastAsiaTheme="minorEastAsia"/>
          <w:b/>
          <w:bCs/>
          <w:i/>
          <w:iCs/>
          <w:sz w:val="20"/>
        </w:rPr>
        <w:t xml:space="preserve">: The </w:t>
      </w:r>
      <w:r w:rsidR="003846AA">
        <w:rPr>
          <w:rFonts w:eastAsiaTheme="minorEastAsia"/>
          <w:b/>
          <w:bCs/>
          <w:i/>
          <w:iCs/>
          <w:sz w:val="20"/>
        </w:rPr>
        <w:t xml:space="preserve">similar </w:t>
      </w:r>
      <w:r>
        <w:rPr>
          <w:rFonts w:eastAsiaTheme="minorEastAsia"/>
          <w:b/>
          <w:bCs/>
          <w:i/>
          <w:iCs/>
          <w:sz w:val="20"/>
        </w:rPr>
        <w:t>semi-static resource partitioning scheme</w:t>
      </w:r>
      <w:r>
        <w:rPr>
          <w:rFonts w:eastAsiaTheme="minorEastAsia" w:hint="eastAsia"/>
          <w:b/>
          <w:bCs/>
          <w:i/>
          <w:iCs/>
          <w:sz w:val="20"/>
        </w:rPr>
        <w:t xml:space="preserve"> </w:t>
      </w:r>
      <w:r w:rsidR="003846AA">
        <w:rPr>
          <w:rFonts w:eastAsiaTheme="minorEastAsia"/>
          <w:b/>
          <w:bCs/>
          <w:i/>
          <w:iCs/>
          <w:sz w:val="20"/>
        </w:rPr>
        <w:t>to Rel-16 mechanism of CU time-domain H/S/NA configuration</w:t>
      </w:r>
      <w:r>
        <w:rPr>
          <w:rFonts w:eastAsiaTheme="minorEastAsia" w:hint="eastAsia"/>
          <w:b/>
          <w:bCs/>
          <w:i/>
          <w:iCs/>
          <w:sz w:val="20"/>
        </w:rPr>
        <w:t xml:space="preserve"> can be the starting point of </w:t>
      </w:r>
      <w:r>
        <w:rPr>
          <w:rFonts w:eastAsiaTheme="minorEastAsia"/>
          <w:b/>
          <w:bCs/>
          <w:i/>
          <w:iCs/>
          <w:sz w:val="20"/>
        </w:rPr>
        <w:t>resource partitioning scheme</w:t>
      </w:r>
      <w:r>
        <w:rPr>
          <w:rFonts w:eastAsiaTheme="minorEastAsia" w:hint="eastAsia"/>
          <w:b/>
          <w:bCs/>
          <w:i/>
          <w:iCs/>
          <w:sz w:val="20"/>
        </w:rPr>
        <w:t xml:space="preserve"> in frequency domain</w:t>
      </w:r>
      <w:r>
        <w:rPr>
          <w:rFonts w:eastAsiaTheme="minorEastAsia"/>
          <w:b/>
          <w:bCs/>
          <w:i/>
          <w:iCs/>
          <w:sz w:val="20"/>
        </w:rPr>
        <w:t>.</w:t>
      </w:r>
    </w:p>
    <w:p w:rsidR="00E02288" w:rsidRDefault="00A70879" w:rsidP="00243A33">
      <w:pPr>
        <w:spacing w:beforeLines="0" w:afterLines="0" w:line="259" w:lineRule="auto"/>
        <w:rPr>
          <w:sz w:val="20"/>
        </w:rPr>
      </w:pPr>
      <w:r>
        <w:rPr>
          <w:sz w:val="20"/>
        </w:rPr>
        <w:t>For full-duplex operation (i.e., simultaneous DU-Tx/MT-Rx and simultaneous DU-Rx/MT-Tx), one traditional issue still exists: due to the same node being the transmitter and receiver at th</w:t>
      </w:r>
      <w:r w:rsidR="005D537B">
        <w:rPr>
          <w:sz w:val="20"/>
        </w:rPr>
        <w:t>e same time, if the</w:t>
      </w:r>
      <w:r>
        <w:rPr>
          <w:sz w:val="20"/>
        </w:rPr>
        <w:t xml:space="preserve"> signal </w:t>
      </w:r>
      <w:r w:rsidR="005D537B">
        <w:rPr>
          <w:sz w:val="20"/>
        </w:rPr>
        <w:t xml:space="preserve">transmitted from the node itself (called signal A) </w:t>
      </w:r>
      <w:r>
        <w:rPr>
          <w:sz w:val="20"/>
        </w:rPr>
        <w:t>gets looped back into receiver</w:t>
      </w:r>
      <w:r w:rsidR="005D537B">
        <w:rPr>
          <w:sz w:val="20"/>
        </w:rPr>
        <w:t xml:space="preserve"> of the same node along with a signal received from a remote IAB node (called signal B)</w:t>
      </w:r>
      <w:r>
        <w:rPr>
          <w:sz w:val="20"/>
        </w:rPr>
        <w:t xml:space="preserve">, the </w:t>
      </w:r>
      <w:r w:rsidR="005D537B">
        <w:rPr>
          <w:sz w:val="20"/>
        </w:rPr>
        <w:t xml:space="preserve">signal A in its analog form is much stronger than the signal B. Then regardless whether the IAB node is equipped with AGC at receiver side, the limited number of digitizing bits in the analog-to-digital converter </w:t>
      </w:r>
      <w:r w:rsidR="00E02288">
        <w:rPr>
          <w:sz w:val="20"/>
        </w:rPr>
        <w:t xml:space="preserve">(ADC) </w:t>
      </w:r>
      <w:r w:rsidR="005D537B">
        <w:rPr>
          <w:sz w:val="20"/>
        </w:rPr>
        <w:t xml:space="preserve">would </w:t>
      </w:r>
      <w:r w:rsidR="00E02288">
        <w:rPr>
          <w:sz w:val="20"/>
        </w:rPr>
        <w:t xml:space="preserve">make it difficult to digitize both signal A and signal B with sufficient granularity upon the much weaker signal B. Any baseband technology can hardly solve this issue, which means RAN1 can do little for the solution. On the other hand, if it is feasible to separate signal A and signal B in their analog forms (before entering ADC), there is no interaction (such as relating to “FDM/SDM overlapping”) between the two signals. Thus there is no need for RAN1 to work out any solution regarding to FDM/SDM. </w:t>
      </w:r>
    </w:p>
    <w:p w:rsidR="00A70879" w:rsidRPr="0086122C" w:rsidRDefault="00E02288" w:rsidP="0086122C">
      <w:pPr>
        <w:spacing w:beforeLines="0" w:afterLines="0" w:line="259" w:lineRule="auto"/>
        <w:rPr>
          <w:b/>
          <w:i/>
          <w:sz w:val="20"/>
        </w:rPr>
      </w:pPr>
      <w:r w:rsidRPr="0086122C">
        <w:rPr>
          <w:b/>
          <w:i/>
          <w:sz w:val="20"/>
        </w:rPr>
        <w:t xml:space="preserve">Observation 1: </w:t>
      </w:r>
      <w:r w:rsidR="0086122C" w:rsidRPr="0086122C">
        <w:rPr>
          <w:b/>
          <w:i/>
          <w:sz w:val="20"/>
        </w:rPr>
        <w:t>For simultaneous DU-Tx/MT-Rx and simultaneous DU-Rx/MT-Tx, a</w:t>
      </w:r>
      <w:r w:rsidRPr="0086122C">
        <w:rPr>
          <w:b/>
          <w:i/>
          <w:sz w:val="20"/>
        </w:rPr>
        <w:t xml:space="preserve">lthough </w:t>
      </w:r>
      <w:r w:rsidR="0086122C" w:rsidRPr="0086122C">
        <w:rPr>
          <w:b/>
          <w:i/>
          <w:sz w:val="20"/>
        </w:rPr>
        <w:t xml:space="preserve">RAN4 may need to work on the corresponding requirements (up to RAN4), the two full-duplex operations can be considered as implementation issues from RAN1 perspective.  </w:t>
      </w:r>
      <w:r w:rsidRPr="0086122C">
        <w:rPr>
          <w:b/>
          <w:i/>
          <w:sz w:val="20"/>
        </w:rPr>
        <w:t xml:space="preserve"> </w:t>
      </w:r>
    </w:p>
    <w:p w:rsidR="007147B7" w:rsidRDefault="004730EB" w:rsidP="00243A33">
      <w:pPr>
        <w:spacing w:beforeLines="0" w:afterLines="0" w:line="259" w:lineRule="auto"/>
        <w:rPr>
          <w:sz w:val="20"/>
        </w:rPr>
      </w:pPr>
      <w:r>
        <w:rPr>
          <w:rFonts w:hint="eastAsia"/>
          <w:sz w:val="20"/>
        </w:rPr>
        <w:t xml:space="preserve">For simultaneous transmissions of an IAB-node in </w:t>
      </w:r>
      <w:r w:rsidR="00C33459">
        <w:rPr>
          <w:sz w:val="20"/>
        </w:rPr>
        <w:t>half</w:t>
      </w:r>
      <w:r>
        <w:rPr>
          <w:rFonts w:hint="eastAsia"/>
          <w:sz w:val="20"/>
        </w:rPr>
        <w:t>-duplex operation (i.e., MT-Tx/DU-Tx), it is difficu</w:t>
      </w:r>
      <w:r w:rsidR="007147B7">
        <w:rPr>
          <w:rFonts w:hint="eastAsia"/>
          <w:sz w:val="20"/>
        </w:rPr>
        <w:t>lt to ensure that the schedul</w:t>
      </w:r>
      <w:r w:rsidR="007147B7">
        <w:rPr>
          <w:sz w:val="20"/>
        </w:rPr>
        <w:t>ed</w:t>
      </w:r>
      <w:r w:rsidR="007147B7">
        <w:rPr>
          <w:rFonts w:hint="eastAsia"/>
          <w:sz w:val="20"/>
        </w:rPr>
        <w:t xml:space="preserve"> resources </w:t>
      </w:r>
      <w:r w:rsidR="007147B7">
        <w:rPr>
          <w:sz w:val="20"/>
        </w:rPr>
        <w:t>for</w:t>
      </w:r>
      <w:r>
        <w:rPr>
          <w:rFonts w:hint="eastAsia"/>
          <w:sz w:val="20"/>
        </w:rPr>
        <w:t xml:space="preserve"> IAB-MT and IAB-DU are aligned in the time domain. For example, </w:t>
      </w:r>
      <w:r w:rsidR="007147B7">
        <w:rPr>
          <w:sz w:val="20"/>
        </w:rPr>
        <w:t xml:space="preserve">unless the parent node and the IAB node can exchange the real-time scheduling information, the number of symbols used for MT-Tx and </w:t>
      </w:r>
      <w:r w:rsidR="007147B7">
        <w:rPr>
          <w:sz w:val="20"/>
        </w:rPr>
        <w:lastRenderedPageBreak/>
        <w:t xml:space="preserve">the number of symbols used for DU-Tx could be different, which could cause </w:t>
      </w:r>
      <w:r w:rsidR="0086122C">
        <w:rPr>
          <w:sz w:val="20"/>
        </w:rPr>
        <w:t xml:space="preserve">a RAN4 issue relating to </w:t>
      </w:r>
      <w:r w:rsidR="007147B7">
        <w:rPr>
          <w:sz w:val="20"/>
        </w:rPr>
        <w:t xml:space="preserve">non-constant total </w:t>
      </w:r>
      <w:r w:rsidR="0086122C">
        <w:rPr>
          <w:sz w:val="20"/>
        </w:rPr>
        <w:t>transmission power</w:t>
      </w:r>
      <w:r w:rsidR="007147B7">
        <w:rPr>
          <w:sz w:val="20"/>
        </w:rPr>
        <w:t xml:space="preserve"> and may require to reserve symbols for the transition guard, at a cost of performance loss due to the overhead. Unfortunately it is not feasible to let IAB nodes to exchange scheduling information with each other. </w:t>
      </w:r>
    </w:p>
    <w:p w:rsidR="00E5154F" w:rsidRDefault="001B6B4A" w:rsidP="00243A33">
      <w:pPr>
        <w:spacing w:beforeLines="0" w:afterLines="0" w:line="259" w:lineRule="auto"/>
        <w:rPr>
          <w:sz w:val="20"/>
        </w:rPr>
      </w:pPr>
      <w:r>
        <w:rPr>
          <w:rFonts w:hint="eastAsia"/>
          <w:sz w:val="20"/>
        </w:rPr>
        <w:t xml:space="preserve">In addition, </w:t>
      </w:r>
      <w:r>
        <w:rPr>
          <w:sz w:val="20"/>
        </w:rPr>
        <w:t>the</w:t>
      </w:r>
      <w:r w:rsidR="004730EB">
        <w:rPr>
          <w:rFonts w:hint="eastAsia"/>
          <w:sz w:val="20"/>
        </w:rPr>
        <w:t xml:space="preserve"> simultaneous transmi</w:t>
      </w:r>
      <w:r w:rsidR="00D93A27">
        <w:rPr>
          <w:rFonts w:hint="eastAsia"/>
          <w:sz w:val="20"/>
        </w:rPr>
        <w:t>ssions in half-duplex operation</w:t>
      </w:r>
      <w:r>
        <w:rPr>
          <w:sz w:val="20"/>
        </w:rPr>
        <w:t xml:space="preserve"> has heavy dependencies on</w:t>
      </w:r>
      <w:r w:rsidR="00D93A27">
        <w:rPr>
          <w:sz w:val="20"/>
        </w:rPr>
        <w:t xml:space="preserve"> </w:t>
      </w:r>
      <w:r>
        <w:rPr>
          <w:sz w:val="20"/>
        </w:rPr>
        <w:t xml:space="preserve">new </w:t>
      </w:r>
      <w:r w:rsidR="00E5154F">
        <w:rPr>
          <w:sz w:val="20"/>
        </w:rPr>
        <w:t xml:space="preserve">Tx </w:t>
      </w:r>
      <w:r>
        <w:rPr>
          <w:sz w:val="20"/>
        </w:rPr>
        <w:t xml:space="preserve">timing </w:t>
      </w:r>
      <w:r w:rsidR="00D93A27">
        <w:rPr>
          <w:sz w:val="20"/>
        </w:rPr>
        <w:t xml:space="preserve">and </w:t>
      </w:r>
      <w:r>
        <w:rPr>
          <w:sz w:val="20"/>
        </w:rPr>
        <w:t xml:space="preserve">new </w:t>
      </w:r>
      <w:r w:rsidR="00E5154F">
        <w:rPr>
          <w:sz w:val="20"/>
        </w:rPr>
        <w:t xml:space="preserve">Tx </w:t>
      </w:r>
      <w:r w:rsidR="00D93A27">
        <w:rPr>
          <w:sz w:val="20"/>
        </w:rPr>
        <w:t xml:space="preserve">power </w:t>
      </w:r>
      <w:r>
        <w:rPr>
          <w:sz w:val="20"/>
        </w:rPr>
        <w:t>coordination aspects</w:t>
      </w:r>
      <w:r w:rsidR="00D93A27">
        <w:rPr>
          <w:sz w:val="20"/>
        </w:rPr>
        <w:t xml:space="preserve">, whose complexities contribute to difficulty in completing DU-Tx/MT-Tx in Rel-17 time frame. </w:t>
      </w:r>
      <w:r w:rsidR="00E5154F">
        <w:rPr>
          <w:sz w:val="20"/>
        </w:rPr>
        <w:t>While more detailed discussion</w:t>
      </w:r>
      <w:r w:rsidR="00E5154F">
        <w:rPr>
          <w:rFonts w:hint="eastAsia"/>
          <w:sz w:val="20"/>
        </w:rPr>
        <w:t xml:space="preserve"> </w:t>
      </w:r>
      <w:r w:rsidR="00E5154F">
        <w:rPr>
          <w:sz w:val="20"/>
        </w:rPr>
        <w:t xml:space="preserve">can be found in </w:t>
      </w:r>
      <w:r w:rsidR="00E5154F">
        <w:rPr>
          <w:rFonts w:hint="eastAsia"/>
          <w:sz w:val="20"/>
        </w:rPr>
        <w:t>[3]</w:t>
      </w:r>
      <w:r w:rsidR="00E5154F">
        <w:rPr>
          <w:sz w:val="20"/>
        </w:rPr>
        <w:t xml:space="preserve"> for timing and power control/coordination</w:t>
      </w:r>
      <w:r w:rsidR="00D93A27">
        <w:rPr>
          <w:sz w:val="20"/>
        </w:rPr>
        <w:t>,</w:t>
      </w:r>
      <w:r w:rsidR="00E5154F">
        <w:rPr>
          <w:sz w:val="20"/>
        </w:rPr>
        <w:t xml:space="preserve"> the </w:t>
      </w:r>
      <w:r>
        <w:rPr>
          <w:sz w:val="20"/>
        </w:rPr>
        <w:t>complexities</w:t>
      </w:r>
      <w:r w:rsidR="00E5154F">
        <w:rPr>
          <w:sz w:val="20"/>
        </w:rPr>
        <w:t xml:space="preserve"> contributed to DU-Tx/MT-Tx is briefly highlighted here.</w:t>
      </w:r>
    </w:p>
    <w:p w:rsidR="00D93A27" w:rsidRPr="00052B50" w:rsidRDefault="00E5154F" w:rsidP="00243A33">
      <w:pPr>
        <w:pStyle w:val="ListParagraph"/>
        <w:numPr>
          <w:ilvl w:val="0"/>
          <w:numId w:val="9"/>
        </w:numPr>
        <w:spacing w:before="120" w:afterLines="0" w:line="259" w:lineRule="auto"/>
        <w:contextualSpacing w:val="0"/>
        <w:rPr>
          <w:sz w:val="20"/>
        </w:rPr>
      </w:pPr>
      <w:r>
        <w:rPr>
          <w:sz w:val="20"/>
        </w:rPr>
        <w:t>From Tx timing perspective, the simultaneous DU-Tx/MT-Tx</w:t>
      </w:r>
      <w:r w:rsidR="00DE58F1">
        <w:rPr>
          <w:sz w:val="20"/>
        </w:rPr>
        <w:t xml:space="preserve"> may need</w:t>
      </w:r>
      <w:r w:rsidR="001B6B4A">
        <w:rPr>
          <w:sz w:val="20"/>
        </w:rPr>
        <w:t xml:space="preserve"> case-6 timing, which means the UL-Tx timing in MT would no longer be determined by Rel-15 TA mechanism but </w:t>
      </w:r>
      <w:r w:rsidR="003376D9">
        <w:rPr>
          <w:sz w:val="20"/>
        </w:rPr>
        <w:t xml:space="preserve">directly </w:t>
      </w:r>
      <w:r w:rsidR="001B6B4A">
        <w:rPr>
          <w:sz w:val="20"/>
        </w:rPr>
        <w:t xml:space="preserve">align to DL-Tx timing in DU. Given DL-Tx timing is theoretically synchronized across different IAB nodes </w:t>
      </w:r>
      <w:r w:rsidR="003376D9">
        <w:rPr>
          <w:sz w:val="20"/>
        </w:rPr>
        <w:t>that associate with different one-way propagation delays to the parent node, the UL-Rx timing at the parent would not be aligned for different IAB nodes. Th</w:t>
      </w:r>
      <w:r w:rsidR="006A7CF4">
        <w:rPr>
          <w:sz w:val="20"/>
        </w:rPr>
        <w:t>en RAN1 needs to spend</w:t>
      </w:r>
      <w:r w:rsidR="003376D9">
        <w:rPr>
          <w:sz w:val="20"/>
        </w:rPr>
        <w:t xml:space="preserve"> additional </w:t>
      </w:r>
      <w:r w:rsidR="006A7CF4">
        <w:rPr>
          <w:sz w:val="20"/>
        </w:rPr>
        <w:t xml:space="preserve">efforts on the revision and possibly even the modification of case-1 timing as well as the Rel-16 features depending on case-1 timing. It may also be necessary to isolate the </w:t>
      </w:r>
      <w:r w:rsidR="00052B50">
        <w:rPr>
          <w:sz w:val="20"/>
        </w:rPr>
        <w:t xml:space="preserve">DU </w:t>
      </w:r>
      <w:r w:rsidR="006A7CF4">
        <w:rPr>
          <w:sz w:val="20"/>
        </w:rPr>
        <w:t xml:space="preserve">slots under case-6 timing from the </w:t>
      </w:r>
      <w:r w:rsidR="00052B50">
        <w:rPr>
          <w:sz w:val="20"/>
        </w:rPr>
        <w:t xml:space="preserve">DU </w:t>
      </w:r>
      <w:r w:rsidR="006A7CF4">
        <w:rPr>
          <w:sz w:val="20"/>
        </w:rPr>
        <w:t xml:space="preserve">slots </w:t>
      </w:r>
      <w:r w:rsidR="00052B50">
        <w:rPr>
          <w:sz w:val="20"/>
        </w:rPr>
        <w:t xml:space="preserve">under only case-1 timing, which means a target of FDM between parent link and child link leads to an additional mechanism of TDM on child link.  </w:t>
      </w:r>
      <w:r w:rsidR="006A7CF4">
        <w:rPr>
          <w:sz w:val="20"/>
        </w:rPr>
        <w:t xml:space="preserve">  </w:t>
      </w:r>
    </w:p>
    <w:p w:rsidR="00E5154F" w:rsidRPr="00E5154F" w:rsidRDefault="00E5154F" w:rsidP="00243A33">
      <w:pPr>
        <w:pStyle w:val="ListParagraph"/>
        <w:numPr>
          <w:ilvl w:val="0"/>
          <w:numId w:val="9"/>
        </w:numPr>
        <w:spacing w:before="120" w:afterLines="0" w:line="259" w:lineRule="auto"/>
        <w:contextualSpacing w:val="0"/>
        <w:rPr>
          <w:sz w:val="20"/>
        </w:rPr>
      </w:pPr>
      <w:r>
        <w:rPr>
          <w:sz w:val="20"/>
        </w:rPr>
        <w:t xml:space="preserve">From Tx power coordination perspective, </w:t>
      </w:r>
      <w:r w:rsidR="00052B50">
        <w:rPr>
          <w:sz w:val="20"/>
        </w:rPr>
        <w:t xml:space="preserve">RAN1 should firstly determine whether the Tx power is the transmission parameter decided locally by IAB node or the Tx power is the fourth resource dimension given by CU alone with time/frequency/space. </w:t>
      </w:r>
      <w:r w:rsidR="00E305B9">
        <w:rPr>
          <w:sz w:val="20"/>
        </w:rPr>
        <w:t xml:space="preserve">This could be a big decision that needs careful study and discussion. </w:t>
      </w:r>
    </w:p>
    <w:p w:rsidR="004730DE" w:rsidRDefault="004730EB" w:rsidP="00745486">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sidR="00C33459">
        <w:rPr>
          <w:rFonts w:eastAsiaTheme="minorEastAsia"/>
          <w:b/>
          <w:bCs/>
          <w:i/>
          <w:iCs/>
          <w:sz w:val="20"/>
        </w:rPr>
        <w:t>2</w:t>
      </w:r>
      <w:r>
        <w:rPr>
          <w:rFonts w:eastAsiaTheme="minorEastAsia"/>
          <w:b/>
          <w:bCs/>
          <w:i/>
          <w:iCs/>
          <w:sz w:val="20"/>
        </w:rPr>
        <w:t xml:space="preserve">: </w:t>
      </w:r>
      <w:r w:rsidR="00243A33">
        <w:rPr>
          <w:rFonts w:eastAsiaTheme="minorEastAsia"/>
          <w:b/>
          <w:bCs/>
          <w:i/>
          <w:iCs/>
          <w:sz w:val="20"/>
        </w:rPr>
        <w:t xml:space="preserve">To de-prioritize simultaneous </w:t>
      </w:r>
      <w:r w:rsidR="00EB697F">
        <w:rPr>
          <w:rFonts w:eastAsiaTheme="minorEastAsia"/>
          <w:b/>
          <w:bCs/>
          <w:i/>
          <w:iCs/>
          <w:sz w:val="20"/>
        </w:rPr>
        <w:t xml:space="preserve">DU-Tx/MT-Rx, DU-Rx/MT-Tx and </w:t>
      </w:r>
      <w:r w:rsidR="00243A33">
        <w:rPr>
          <w:rFonts w:eastAsiaTheme="minorEastAsia"/>
          <w:b/>
          <w:bCs/>
          <w:i/>
          <w:iCs/>
          <w:sz w:val="20"/>
        </w:rPr>
        <w:t>DU-</w:t>
      </w:r>
      <w:r w:rsidR="00243A33">
        <w:rPr>
          <w:rFonts w:eastAsiaTheme="minorEastAsia" w:hint="eastAsia"/>
          <w:b/>
          <w:bCs/>
          <w:i/>
          <w:iCs/>
          <w:sz w:val="20"/>
        </w:rPr>
        <w:t>T</w:t>
      </w:r>
      <w:r w:rsidR="00243A33">
        <w:rPr>
          <w:rFonts w:eastAsiaTheme="minorEastAsia"/>
          <w:b/>
          <w:bCs/>
          <w:i/>
          <w:iCs/>
          <w:sz w:val="20"/>
        </w:rPr>
        <w:t>x/MT-</w:t>
      </w:r>
      <w:r w:rsidR="00243A33">
        <w:rPr>
          <w:rFonts w:eastAsiaTheme="minorEastAsia" w:hint="eastAsia"/>
          <w:b/>
          <w:bCs/>
          <w:i/>
          <w:iCs/>
          <w:sz w:val="20"/>
        </w:rPr>
        <w:t>T</w:t>
      </w:r>
      <w:r w:rsidR="00243A33">
        <w:rPr>
          <w:rFonts w:eastAsiaTheme="minorEastAsia"/>
          <w:b/>
          <w:bCs/>
          <w:i/>
          <w:iCs/>
          <w:sz w:val="20"/>
        </w:rPr>
        <w:t xml:space="preserve">x in RAN1 </w:t>
      </w:r>
      <w:r w:rsidR="00243A33">
        <w:rPr>
          <w:rFonts w:eastAsiaTheme="minorEastAsia" w:hint="eastAsia"/>
          <w:b/>
          <w:bCs/>
          <w:i/>
          <w:iCs/>
          <w:sz w:val="20"/>
        </w:rPr>
        <w:t>Rel-17 normative work</w:t>
      </w:r>
      <w:r>
        <w:rPr>
          <w:rFonts w:eastAsiaTheme="minorEastAsia"/>
          <w:b/>
          <w:bCs/>
          <w:i/>
          <w:iCs/>
          <w:sz w:val="20"/>
        </w:rPr>
        <w:t>.</w:t>
      </w:r>
    </w:p>
    <w:p w:rsidR="00A70879" w:rsidRPr="00310F22" w:rsidRDefault="00EB697F" w:rsidP="00310F22">
      <w:pPr>
        <w:pStyle w:val="ListParagraph"/>
        <w:numPr>
          <w:ilvl w:val="0"/>
          <w:numId w:val="10"/>
        </w:numPr>
        <w:spacing w:before="120" w:afterLines="0" w:line="259" w:lineRule="auto"/>
        <w:ind w:left="900"/>
        <w:contextualSpacing w:val="0"/>
        <w:rPr>
          <w:b/>
          <w:i/>
          <w:sz w:val="20"/>
        </w:rPr>
      </w:pPr>
      <w:r>
        <w:rPr>
          <w:b/>
          <w:i/>
          <w:sz w:val="20"/>
        </w:rPr>
        <w:t>The above three duplex operations</w:t>
      </w:r>
      <w:r w:rsidR="00243A33" w:rsidRPr="00243A33">
        <w:rPr>
          <w:b/>
          <w:i/>
          <w:sz w:val="20"/>
        </w:rPr>
        <w:t xml:space="preserve"> can still be implemented in practice, e.g., by using multi-panel antenna and separate PA</w:t>
      </w:r>
      <w:bookmarkStart w:id="0" w:name="_GoBack"/>
      <w:bookmarkEnd w:id="0"/>
      <w:r>
        <w:rPr>
          <w:b/>
          <w:i/>
          <w:sz w:val="20"/>
        </w:rPr>
        <w:t xml:space="preserve"> to isolate the DU-Tx/Rx and MT-Tx/Rx</w:t>
      </w:r>
      <w:r w:rsidR="00310F22">
        <w:rPr>
          <w:b/>
          <w:i/>
          <w:sz w:val="20"/>
        </w:rPr>
        <w:t xml:space="preserve"> in their analog forms</w:t>
      </w:r>
      <w:r w:rsidR="00243A33" w:rsidRPr="00243A33">
        <w:rPr>
          <w:b/>
          <w:i/>
          <w:sz w:val="20"/>
        </w:rPr>
        <w:t>.</w:t>
      </w:r>
      <w:r>
        <w:rPr>
          <w:b/>
          <w:i/>
          <w:sz w:val="20"/>
        </w:rPr>
        <w:t xml:space="preserve"> In this case, there is no FDM/SDM relation in between per RAN1 perspective. </w:t>
      </w:r>
      <w:r w:rsidR="00243A33" w:rsidRPr="00243A33">
        <w:rPr>
          <w:b/>
          <w:i/>
          <w:sz w:val="20"/>
        </w:rPr>
        <w:t xml:space="preserve"> </w:t>
      </w:r>
    </w:p>
    <w:p w:rsidR="004730DE" w:rsidRDefault="004730EB">
      <w:pPr>
        <w:pStyle w:val="Heading1"/>
        <w:spacing w:before="120" w:after="120"/>
        <w:ind w:left="0"/>
        <w:rPr>
          <w:rFonts w:eastAsia="SimSun"/>
        </w:rPr>
      </w:pPr>
      <w:bookmarkStart w:id="1" w:name="_Toc30716"/>
      <w:bookmarkStart w:id="2" w:name="_Toc19141"/>
      <w:bookmarkStart w:id="3" w:name="_Toc8335"/>
      <w:bookmarkEnd w:id="1"/>
      <w:bookmarkEnd w:id="2"/>
      <w:bookmarkEnd w:id="3"/>
      <w:r>
        <w:rPr>
          <w:rFonts w:eastAsia="SimSun" w:hint="eastAsia"/>
        </w:rPr>
        <w:t>Conclusion</w:t>
      </w:r>
    </w:p>
    <w:p w:rsidR="004730DE" w:rsidRDefault="004730EB">
      <w:pPr>
        <w:tabs>
          <w:tab w:val="left" w:pos="2520"/>
        </w:tabs>
        <w:spacing w:before="120" w:after="120"/>
        <w:rPr>
          <w:sz w:val="20"/>
        </w:rPr>
      </w:pPr>
      <w:r>
        <w:rPr>
          <w:rFonts w:hint="eastAsia"/>
          <w:sz w:val="20"/>
        </w:rPr>
        <w:t>According to the discussion above, we provide the following proposal</w:t>
      </w:r>
      <w:r>
        <w:rPr>
          <w:sz w:val="20"/>
        </w:rPr>
        <w:t>s</w:t>
      </w:r>
      <w:r>
        <w:rPr>
          <w:rFonts w:hint="eastAsia"/>
          <w:sz w:val="20"/>
        </w:rPr>
        <w:t xml:space="preserve"> on resource multiplexing of IAB:</w:t>
      </w:r>
    </w:p>
    <w:p w:rsidR="00310F22" w:rsidRPr="0086122C" w:rsidRDefault="00310F22" w:rsidP="00310F22">
      <w:pPr>
        <w:spacing w:beforeLines="0" w:afterLines="0" w:line="259" w:lineRule="auto"/>
        <w:rPr>
          <w:b/>
          <w:i/>
          <w:sz w:val="20"/>
        </w:rPr>
      </w:pPr>
      <w:r w:rsidRPr="0086122C">
        <w:rPr>
          <w:b/>
          <w:i/>
          <w:sz w:val="20"/>
        </w:rPr>
        <w:t xml:space="preserve">Observation 1: For simultaneous DU-Tx/MT-Rx and simultaneous DU-Rx/MT-Tx, although RAN4 may need to work on the corresponding requirements (up to RAN4), the two full-duplex operations can be considered as implementation issues from RAN1 perspective.   </w:t>
      </w:r>
    </w:p>
    <w:p w:rsidR="00243A33" w:rsidRDefault="00243A33" w:rsidP="00243A33">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1</w:t>
      </w:r>
      <w:r>
        <w:rPr>
          <w:rFonts w:eastAsiaTheme="minorEastAsia"/>
          <w:b/>
          <w:bCs/>
          <w:i/>
          <w:iCs/>
          <w:sz w:val="20"/>
        </w:rPr>
        <w:t>: The similar semi-static resource partitioning scheme</w:t>
      </w:r>
      <w:r>
        <w:rPr>
          <w:rFonts w:eastAsiaTheme="minorEastAsia" w:hint="eastAsia"/>
          <w:b/>
          <w:bCs/>
          <w:i/>
          <w:iCs/>
          <w:sz w:val="20"/>
        </w:rPr>
        <w:t xml:space="preserve"> </w:t>
      </w:r>
      <w:r>
        <w:rPr>
          <w:rFonts w:eastAsiaTheme="minorEastAsia"/>
          <w:b/>
          <w:bCs/>
          <w:i/>
          <w:iCs/>
          <w:sz w:val="20"/>
        </w:rPr>
        <w:t>to Rel-16 mechanism of CU time-domain H/S/NA configuration</w:t>
      </w:r>
      <w:r>
        <w:rPr>
          <w:rFonts w:eastAsiaTheme="minorEastAsia" w:hint="eastAsia"/>
          <w:b/>
          <w:bCs/>
          <w:i/>
          <w:iCs/>
          <w:sz w:val="20"/>
        </w:rPr>
        <w:t xml:space="preserve"> can be the starting point of </w:t>
      </w:r>
      <w:r>
        <w:rPr>
          <w:rFonts w:eastAsiaTheme="minorEastAsia"/>
          <w:b/>
          <w:bCs/>
          <w:i/>
          <w:iCs/>
          <w:sz w:val="20"/>
        </w:rPr>
        <w:t>resource partitioning scheme</w:t>
      </w:r>
      <w:r>
        <w:rPr>
          <w:rFonts w:eastAsiaTheme="minorEastAsia" w:hint="eastAsia"/>
          <w:b/>
          <w:bCs/>
          <w:i/>
          <w:iCs/>
          <w:sz w:val="20"/>
        </w:rPr>
        <w:t xml:space="preserve"> in frequency domain</w:t>
      </w:r>
      <w:r>
        <w:rPr>
          <w:rFonts w:eastAsiaTheme="minorEastAsia"/>
          <w:b/>
          <w:bCs/>
          <w:i/>
          <w:iCs/>
          <w:sz w:val="20"/>
        </w:rPr>
        <w:t>.</w:t>
      </w:r>
    </w:p>
    <w:p w:rsidR="00310F22" w:rsidRDefault="00310F22" w:rsidP="00745486">
      <w:pPr>
        <w:spacing w:beforeLines="0" w:afterLines="0"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2: To de-prioritize simultaneous DU-Tx/MT-Rx, DU-Rx/MT-Tx and DU-</w:t>
      </w:r>
      <w:r>
        <w:rPr>
          <w:rFonts w:eastAsiaTheme="minorEastAsia" w:hint="eastAsia"/>
          <w:b/>
          <w:bCs/>
          <w:i/>
          <w:iCs/>
          <w:sz w:val="20"/>
        </w:rPr>
        <w:t>T</w:t>
      </w:r>
      <w:r>
        <w:rPr>
          <w:rFonts w:eastAsiaTheme="minorEastAsia"/>
          <w:b/>
          <w:bCs/>
          <w:i/>
          <w:iCs/>
          <w:sz w:val="20"/>
        </w:rPr>
        <w:t>x/MT-</w:t>
      </w:r>
      <w:r>
        <w:rPr>
          <w:rFonts w:eastAsiaTheme="minorEastAsia" w:hint="eastAsia"/>
          <w:b/>
          <w:bCs/>
          <w:i/>
          <w:iCs/>
          <w:sz w:val="20"/>
        </w:rPr>
        <w:t>T</w:t>
      </w:r>
      <w:r>
        <w:rPr>
          <w:rFonts w:eastAsiaTheme="minorEastAsia"/>
          <w:b/>
          <w:bCs/>
          <w:i/>
          <w:iCs/>
          <w:sz w:val="20"/>
        </w:rPr>
        <w:t xml:space="preserve">x in RAN1 </w:t>
      </w:r>
      <w:r>
        <w:rPr>
          <w:rFonts w:eastAsiaTheme="minorEastAsia" w:hint="eastAsia"/>
          <w:b/>
          <w:bCs/>
          <w:i/>
          <w:iCs/>
          <w:sz w:val="20"/>
        </w:rPr>
        <w:t>Rel-17 normative work</w:t>
      </w:r>
      <w:r>
        <w:rPr>
          <w:rFonts w:eastAsiaTheme="minorEastAsia"/>
          <w:b/>
          <w:bCs/>
          <w:i/>
          <w:iCs/>
          <w:sz w:val="20"/>
        </w:rPr>
        <w:t>.</w:t>
      </w:r>
    </w:p>
    <w:p w:rsidR="00310F22" w:rsidRPr="00310F22" w:rsidRDefault="00310F22" w:rsidP="00310F22">
      <w:pPr>
        <w:pStyle w:val="ListParagraph"/>
        <w:numPr>
          <w:ilvl w:val="0"/>
          <w:numId w:val="10"/>
        </w:numPr>
        <w:spacing w:before="120" w:afterLines="0" w:line="259" w:lineRule="auto"/>
        <w:ind w:left="900"/>
        <w:contextualSpacing w:val="0"/>
        <w:rPr>
          <w:b/>
          <w:i/>
          <w:sz w:val="20"/>
        </w:rPr>
      </w:pPr>
      <w:r>
        <w:rPr>
          <w:b/>
          <w:i/>
          <w:sz w:val="20"/>
        </w:rPr>
        <w:t>The above three duplex operations</w:t>
      </w:r>
      <w:r w:rsidRPr="00243A33">
        <w:rPr>
          <w:b/>
          <w:i/>
          <w:sz w:val="20"/>
        </w:rPr>
        <w:t xml:space="preserve"> can still be implemented in practice, e.g., by using multi-panel antenna and separate PA</w:t>
      </w:r>
      <w:r>
        <w:rPr>
          <w:b/>
          <w:i/>
          <w:sz w:val="20"/>
        </w:rPr>
        <w:t xml:space="preserve"> to isolate the DU-Tx/Rx and MT-Tx/Rx in their analog forms</w:t>
      </w:r>
      <w:r w:rsidRPr="00243A33">
        <w:rPr>
          <w:b/>
          <w:i/>
          <w:sz w:val="20"/>
        </w:rPr>
        <w:t>.</w:t>
      </w:r>
      <w:r>
        <w:rPr>
          <w:b/>
          <w:i/>
          <w:sz w:val="20"/>
        </w:rPr>
        <w:t xml:space="preserve"> In this case, there is no FDM/SDM relation in between per RAN1 perspective. </w:t>
      </w:r>
      <w:r w:rsidRPr="00243A33">
        <w:rPr>
          <w:b/>
          <w:i/>
          <w:sz w:val="20"/>
        </w:rPr>
        <w:t xml:space="preserve"> </w:t>
      </w:r>
    </w:p>
    <w:p w:rsidR="004730DE" w:rsidRDefault="004730EB">
      <w:pPr>
        <w:pStyle w:val="Heading1"/>
        <w:spacing w:before="120" w:after="120"/>
        <w:ind w:left="0"/>
        <w:rPr>
          <w:rFonts w:eastAsia="SimSun"/>
        </w:rPr>
      </w:pPr>
      <w:r>
        <w:rPr>
          <w:rFonts w:eastAsia="SimSun" w:hint="eastAsia"/>
        </w:rPr>
        <w:t>Reference</w:t>
      </w:r>
      <w:r>
        <w:rPr>
          <w:rFonts w:eastAsia="SimSun"/>
        </w:rPr>
        <w:t>s</w:t>
      </w:r>
    </w:p>
    <w:p w:rsidR="004730DE" w:rsidRDefault="004730EB">
      <w:pPr>
        <w:pStyle w:val="References"/>
        <w:spacing w:before="120" w:after="120"/>
        <w:ind w:left="0" w:firstLine="0"/>
      </w:pPr>
      <w:bookmarkStart w:id="4" w:name="_Ref16505925"/>
      <w:bookmarkStart w:id="5" w:name="_Ref17466"/>
      <w:bookmarkStart w:id="6" w:name="_Ref6480"/>
      <w:r>
        <w:rPr>
          <w:bCs/>
          <w:szCs w:val="20"/>
        </w:rPr>
        <w:t>RP-2</w:t>
      </w:r>
      <w:r>
        <w:rPr>
          <w:szCs w:val="20"/>
        </w:rPr>
        <w:t xml:space="preserve">01293, New WID on Enhancements to Integrated Access and Backhaul, </w:t>
      </w:r>
      <w:bookmarkEnd w:id="4"/>
      <w:r>
        <w:rPr>
          <w:szCs w:val="20"/>
        </w:rPr>
        <w:t>Qualcomm</w:t>
      </w:r>
      <w:bookmarkEnd w:id="5"/>
      <w:bookmarkEnd w:id="6"/>
      <w:r>
        <w:rPr>
          <w:rFonts w:hint="eastAsia"/>
          <w:szCs w:val="20"/>
        </w:rPr>
        <w:t>.</w:t>
      </w:r>
    </w:p>
    <w:p w:rsidR="004730DE" w:rsidRDefault="004730EB">
      <w:pPr>
        <w:pStyle w:val="References"/>
        <w:spacing w:before="120" w:after="120"/>
        <w:ind w:left="0" w:firstLine="0"/>
      </w:pPr>
      <w:r>
        <w:rPr>
          <w:rFonts w:hint="eastAsia"/>
        </w:rPr>
        <w:t>38874-g00.</w:t>
      </w:r>
    </w:p>
    <w:p w:rsidR="004730DE" w:rsidRDefault="004730EB" w:rsidP="00310F22">
      <w:pPr>
        <w:pStyle w:val="References"/>
        <w:spacing w:before="120" w:after="120"/>
        <w:ind w:left="0" w:firstLine="0"/>
      </w:pPr>
      <w:r>
        <w:rPr>
          <w:rFonts w:hint="eastAsia"/>
        </w:rPr>
        <w:t>R1-2</w:t>
      </w:r>
      <w:r w:rsidR="00DE58F1">
        <w:rPr>
          <w:rFonts w:hint="eastAsia"/>
        </w:rPr>
        <w:t>0</w:t>
      </w:r>
      <w:r w:rsidR="00DE58F1">
        <w:t>05468,</w:t>
      </w:r>
      <w:r>
        <w:rPr>
          <w:rFonts w:hint="eastAsia"/>
        </w:rPr>
        <w:t xml:space="preserve"> Enhancements for simultaneous operation of child and parent links</w:t>
      </w:r>
    </w:p>
    <w:sectPr w:rsidR="004730DE" w:rsidSect="004730D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97F" w:rsidRDefault="00EB697F" w:rsidP="004730EB">
      <w:pPr>
        <w:spacing w:before="120" w:after="120" w:line="240" w:lineRule="auto"/>
      </w:pPr>
      <w:r>
        <w:separator/>
      </w:r>
    </w:p>
  </w:endnote>
  <w:endnote w:type="continuationSeparator" w:id="0">
    <w:p w:rsidR="00EB697F" w:rsidRDefault="00EB697F" w:rsidP="004730E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7F" w:rsidRDefault="00EB697F">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5824"/>
      <w:docPartObj>
        <w:docPartGallery w:val="Page Numbers (Bottom of Page)"/>
        <w:docPartUnique/>
      </w:docPartObj>
    </w:sdtPr>
    <w:sdtContent>
      <w:p w:rsidR="00EB697F" w:rsidRDefault="00A9234E" w:rsidP="0058496B">
        <w:pPr>
          <w:pStyle w:val="Footer"/>
          <w:spacing w:before="120" w:after="120"/>
          <w:jc w:val="center"/>
        </w:pPr>
        <w:fldSimple w:instr=" PAGE   \* MERGEFORMAT ">
          <w:r w:rsidR="00745486">
            <w:rPr>
              <w:noProof/>
            </w:rPr>
            <w:t>2</w:t>
          </w:r>
        </w:fldSimple>
      </w:p>
    </w:sdtContent>
  </w:sdt>
  <w:p w:rsidR="00EB697F" w:rsidRDefault="00EB697F">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7F" w:rsidRDefault="00EB697F">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97F" w:rsidRDefault="00EB697F" w:rsidP="004730EB">
      <w:pPr>
        <w:spacing w:before="120" w:after="120" w:line="240" w:lineRule="auto"/>
      </w:pPr>
      <w:r>
        <w:separator/>
      </w:r>
    </w:p>
  </w:footnote>
  <w:footnote w:type="continuationSeparator" w:id="0">
    <w:p w:rsidR="00EB697F" w:rsidRDefault="00EB697F" w:rsidP="004730E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7F" w:rsidRDefault="00EB697F">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7F" w:rsidRDefault="00EB697F">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97F" w:rsidRDefault="00EB697F">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214C1490"/>
    <w:multiLevelType w:val="hybridMultilevel"/>
    <w:tmpl w:val="1686578C"/>
    <w:lvl w:ilvl="0" w:tplc="04090001">
      <w:start w:val="1"/>
      <w:numFmt w:val="bullet"/>
      <w:lvlText w:val=""/>
      <w:lvlJc w:val="left"/>
      <w:pPr>
        <w:ind w:left="808" w:hanging="360"/>
      </w:pPr>
      <w:rPr>
        <w:rFonts w:ascii="Symbol" w:hAnsi="Symbol" w:hint="default"/>
      </w:rPr>
    </w:lvl>
    <w:lvl w:ilvl="1" w:tplc="04090003">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2BA1506"/>
    <w:multiLevelType w:val="hybridMultilevel"/>
    <w:tmpl w:val="71E2447C"/>
    <w:lvl w:ilvl="0" w:tplc="D7603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8"/>
  </w:num>
  <w:num w:numId="3">
    <w:abstractNumId w:val="0"/>
  </w:num>
  <w:num w:numId="4">
    <w:abstractNumId w:val="2"/>
  </w:num>
  <w:num w:numId="5">
    <w:abstractNumId w:val="9"/>
  </w:num>
  <w:num w:numId="6">
    <w:abstractNumId w:val="1"/>
  </w:num>
  <w:num w:numId="7">
    <w:abstractNumId w:val="7"/>
  </w:num>
  <w:num w:numId="8">
    <w:abstractNumId w:val="5"/>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243D"/>
    <w:rsid w:val="000153A2"/>
    <w:rsid w:val="0002562E"/>
    <w:rsid w:val="000267DF"/>
    <w:rsid w:val="00027F1E"/>
    <w:rsid w:val="00051D0F"/>
    <w:rsid w:val="00052788"/>
    <w:rsid w:val="00052B50"/>
    <w:rsid w:val="000B26FC"/>
    <w:rsid w:val="000D17FF"/>
    <w:rsid w:val="001232D4"/>
    <w:rsid w:val="00145443"/>
    <w:rsid w:val="001624CD"/>
    <w:rsid w:val="00172A27"/>
    <w:rsid w:val="001A4F7B"/>
    <w:rsid w:val="001B6B4A"/>
    <w:rsid w:val="0022245F"/>
    <w:rsid w:val="00243A33"/>
    <w:rsid w:val="00257880"/>
    <w:rsid w:val="002B69E3"/>
    <w:rsid w:val="002D3394"/>
    <w:rsid w:val="002E4AC2"/>
    <w:rsid w:val="002E5FB1"/>
    <w:rsid w:val="002F0461"/>
    <w:rsid w:val="002F3518"/>
    <w:rsid w:val="00310F22"/>
    <w:rsid w:val="00316A30"/>
    <w:rsid w:val="003376D9"/>
    <w:rsid w:val="00345220"/>
    <w:rsid w:val="00356615"/>
    <w:rsid w:val="003600B9"/>
    <w:rsid w:val="003846AA"/>
    <w:rsid w:val="00390DF0"/>
    <w:rsid w:val="003B3563"/>
    <w:rsid w:val="003C63A8"/>
    <w:rsid w:val="00414285"/>
    <w:rsid w:val="004270F1"/>
    <w:rsid w:val="004730DE"/>
    <w:rsid w:val="004730EB"/>
    <w:rsid w:val="004A60A2"/>
    <w:rsid w:val="004C5B08"/>
    <w:rsid w:val="004D3384"/>
    <w:rsid w:val="00500BCB"/>
    <w:rsid w:val="005013FA"/>
    <w:rsid w:val="005039B7"/>
    <w:rsid w:val="00507DD7"/>
    <w:rsid w:val="00516A66"/>
    <w:rsid w:val="0052359B"/>
    <w:rsid w:val="005246E7"/>
    <w:rsid w:val="00541A4E"/>
    <w:rsid w:val="00545F29"/>
    <w:rsid w:val="00551DD0"/>
    <w:rsid w:val="00553DD5"/>
    <w:rsid w:val="00556D60"/>
    <w:rsid w:val="005636C0"/>
    <w:rsid w:val="00563EBB"/>
    <w:rsid w:val="0057674C"/>
    <w:rsid w:val="00576896"/>
    <w:rsid w:val="0058496B"/>
    <w:rsid w:val="0059363A"/>
    <w:rsid w:val="005A4C77"/>
    <w:rsid w:val="005B065E"/>
    <w:rsid w:val="005B6DE3"/>
    <w:rsid w:val="005D537B"/>
    <w:rsid w:val="005E446B"/>
    <w:rsid w:val="00623393"/>
    <w:rsid w:val="00626ECE"/>
    <w:rsid w:val="0063648C"/>
    <w:rsid w:val="00644D08"/>
    <w:rsid w:val="00661237"/>
    <w:rsid w:val="00672F4C"/>
    <w:rsid w:val="006808A8"/>
    <w:rsid w:val="006841E3"/>
    <w:rsid w:val="006863A4"/>
    <w:rsid w:val="00690F99"/>
    <w:rsid w:val="006A094C"/>
    <w:rsid w:val="006A6DCC"/>
    <w:rsid w:val="006A7CF4"/>
    <w:rsid w:val="006B15D1"/>
    <w:rsid w:val="006C1830"/>
    <w:rsid w:val="006D4629"/>
    <w:rsid w:val="006E7B88"/>
    <w:rsid w:val="0070297F"/>
    <w:rsid w:val="0070453F"/>
    <w:rsid w:val="007147B7"/>
    <w:rsid w:val="00735070"/>
    <w:rsid w:val="00745486"/>
    <w:rsid w:val="007665DF"/>
    <w:rsid w:val="007777CB"/>
    <w:rsid w:val="007B04BC"/>
    <w:rsid w:val="007B43ED"/>
    <w:rsid w:val="007B78C9"/>
    <w:rsid w:val="007C009E"/>
    <w:rsid w:val="007C39E1"/>
    <w:rsid w:val="007D333E"/>
    <w:rsid w:val="007E7055"/>
    <w:rsid w:val="007F1BE6"/>
    <w:rsid w:val="00816AFB"/>
    <w:rsid w:val="008263E5"/>
    <w:rsid w:val="0083140F"/>
    <w:rsid w:val="00852E61"/>
    <w:rsid w:val="00860A0F"/>
    <w:rsid w:val="0086122C"/>
    <w:rsid w:val="00862313"/>
    <w:rsid w:val="0088133B"/>
    <w:rsid w:val="00896CFA"/>
    <w:rsid w:val="008B5FB1"/>
    <w:rsid w:val="0090506D"/>
    <w:rsid w:val="00912C1B"/>
    <w:rsid w:val="00926B3A"/>
    <w:rsid w:val="00940768"/>
    <w:rsid w:val="009521F1"/>
    <w:rsid w:val="0096044C"/>
    <w:rsid w:val="00970BF7"/>
    <w:rsid w:val="009B2134"/>
    <w:rsid w:val="00A149DC"/>
    <w:rsid w:val="00A224BC"/>
    <w:rsid w:val="00A22656"/>
    <w:rsid w:val="00A70879"/>
    <w:rsid w:val="00A9234E"/>
    <w:rsid w:val="00AA1629"/>
    <w:rsid w:val="00AB341D"/>
    <w:rsid w:val="00AE2389"/>
    <w:rsid w:val="00AF3719"/>
    <w:rsid w:val="00B25274"/>
    <w:rsid w:val="00B37037"/>
    <w:rsid w:val="00B46FFB"/>
    <w:rsid w:val="00B7555D"/>
    <w:rsid w:val="00BC3C97"/>
    <w:rsid w:val="00BD7545"/>
    <w:rsid w:val="00BE1617"/>
    <w:rsid w:val="00BE18E1"/>
    <w:rsid w:val="00BE43B9"/>
    <w:rsid w:val="00BF20D4"/>
    <w:rsid w:val="00C33459"/>
    <w:rsid w:val="00C4368C"/>
    <w:rsid w:val="00C63CE1"/>
    <w:rsid w:val="00C70860"/>
    <w:rsid w:val="00C95A38"/>
    <w:rsid w:val="00CB0B03"/>
    <w:rsid w:val="00CB15E3"/>
    <w:rsid w:val="00CC1A49"/>
    <w:rsid w:val="00CF3DEB"/>
    <w:rsid w:val="00D12230"/>
    <w:rsid w:val="00D24438"/>
    <w:rsid w:val="00D47770"/>
    <w:rsid w:val="00D70875"/>
    <w:rsid w:val="00D93A27"/>
    <w:rsid w:val="00DC0EB7"/>
    <w:rsid w:val="00DC1D12"/>
    <w:rsid w:val="00DC6400"/>
    <w:rsid w:val="00DE58F1"/>
    <w:rsid w:val="00DE63C1"/>
    <w:rsid w:val="00E02288"/>
    <w:rsid w:val="00E25964"/>
    <w:rsid w:val="00E305B9"/>
    <w:rsid w:val="00E32D38"/>
    <w:rsid w:val="00E4276A"/>
    <w:rsid w:val="00E5154F"/>
    <w:rsid w:val="00E521B1"/>
    <w:rsid w:val="00E57AC4"/>
    <w:rsid w:val="00E92040"/>
    <w:rsid w:val="00EB697F"/>
    <w:rsid w:val="00ED3DD9"/>
    <w:rsid w:val="00F02BE2"/>
    <w:rsid w:val="00F22613"/>
    <w:rsid w:val="00F52A83"/>
    <w:rsid w:val="00F732EA"/>
    <w:rsid w:val="00F74907"/>
    <w:rsid w:val="00F81C17"/>
    <w:rsid w:val="00FB3C0F"/>
    <w:rsid w:val="00FD2DE4"/>
    <w:rsid w:val="01764F01"/>
    <w:rsid w:val="018335FF"/>
    <w:rsid w:val="01876AF7"/>
    <w:rsid w:val="01A24378"/>
    <w:rsid w:val="01BB204B"/>
    <w:rsid w:val="01C725CA"/>
    <w:rsid w:val="021E0B8F"/>
    <w:rsid w:val="023A7E5D"/>
    <w:rsid w:val="024D6B6A"/>
    <w:rsid w:val="02751E2C"/>
    <w:rsid w:val="029B04E7"/>
    <w:rsid w:val="02A549AD"/>
    <w:rsid w:val="02EE40B6"/>
    <w:rsid w:val="03073BDC"/>
    <w:rsid w:val="033F44DC"/>
    <w:rsid w:val="03640F72"/>
    <w:rsid w:val="0394270E"/>
    <w:rsid w:val="03B13DEA"/>
    <w:rsid w:val="03E37A5C"/>
    <w:rsid w:val="03F318CE"/>
    <w:rsid w:val="041108B1"/>
    <w:rsid w:val="04225BC0"/>
    <w:rsid w:val="04461333"/>
    <w:rsid w:val="044D7F0D"/>
    <w:rsid w:val="048940FA"/>
    <w:rsid w:val="04D353E6"/>
    <w:rsid w:val="052C4FC7"/>
    <w:rsid w:val="0555228E"/>
    <w:rsid w:val="05856413"/>
    <w:rsid w:val="059D1E39"/>
    <w:rsid w:val="05A278A8"/>
    <w:rsid w:val="05E078B3"/>
    <w:rsid w:val="06417BEE"/>
    <w:rsid w:val="06A52D30"/>
    <w:rsid w:val="06C54C67"/>
    <w:rsid w:val="06D50911"/>
    <w:rsid w:val="06D6577F"/>
    <w:rsid w:val="06DA4D4C"/>
    <w:rsid w:val="06EE32C9"/>
    <w:rsid w:val="07064891"/>
    <w:rsid w:val="071D167C"/>
    <w:rsid w:val="073A47AF"/>
    <w:rsid w:val="0747518A"/>
    <w:rsid w:val="075675EB"/>
    <w:rsid w:val="077D0583"/>
    <w:rsid w:val="07954073"/>
    <w:rsid w:val="079724D0"/>
    <w:rsid w:val="079E23A9"/>
    <w:rsid w:val="07A35120"/>
    <w:rsid w:val="07C64F6B"/>
    <w:rsid w:val="07C82A90"/>
    <w:rsid w:val="07DF6306"/>
    <w:rsid w:val="081D74F8"/>
    <w:rsid w:val="082A352F"/>
    <w:rsid w:val="0851464F"/>
    <w:rsid w:val="08A55ED7"/>
    <w:rsid w:val="08C349D1"/>
    <w:rsid w:val="08D147B4"/>
    <w:rsid w:val="08D43869"/>
    <w:rsid w:val="09354BDA"/>
    <w:rsid w:val="093F11D7"/>
    <w:rsid w:val="096952A6"/>
    <w:rsid w:val="096E0747"/>
    <w:rsid w:val="098B422A"/>
    <w:rsid w:val="09972C4E"/>
    <w:rsid w:val="099A4C25"/>
    <w:rsid w:val="09D57250"/>
    <w:rsid w:val="09DB74BF"/>
    <w:rsid w:val="09F67CD5"/>
    <w:rsid w:val="0A1C4D5C"/>
    <w:rsid w:val="0A1E0BD1"/>
    <w:rsid w:val="0A2A3B5C"/>
    <w:rsid w:val="0A814E16"/>
    <w:rsid w:val="0A9C4839"/>
    <w:rsid w:val="0AA7294A"/>
    <w:rsid w:val="0AAE4D33"/>
    <w:rsid w:val="0ABE3F3C"/>
    <w:rsid w:val="0AD0416B"/>
    <w:rsid w:val="0AD07E35"/>
    <w:rsid w:val="0AEA7216"/>
    <w:rsid w:val="0B732094"/>
    <w:rsid w:val="0B747BE2"/>
    <w:rsid w:val="0B870DDB"/>
    <w:rsid w:val="0B884441"/>
    <w:rsid w:val="0B8F54B6"/>
    <w:rsid w:val="0B9E71DF"/>
    <w:rsid w:val="0BB04D20"/>
    <w:rsid w:val="0BD313B8"/>
    <w:rsid w:val="0C635466"/>
    <w:rsid w:val="0C900C57"/>
    <w:rsid w:val="0C935E91"/>
    <w:rsid w:val="0C9D30C2"/>
    <w:rsid w:val="0CBB2FFB"/>
    <w:rsid w:val="0CBF1554"/>
    <w:rsid w:val="0D0F6620"/>
    <w:rsid w:val="0D167A71"/>
    <w:rsid w:val="0D297F0F"/>
    <w:rsid w:val="0D746A50"/>
    <w:rsid w:val="0D784804"/>
    <w:rsid w:val="0DB6345E"/>
    <w:rsid w:val="0DB66F6E"/>
    <w:rsid w:val="0DC55238"/>
    <w:rsid w:val="0DCD3EA6"/>
    <w:rsid w:val="0DF96AE9"/>
    <w:rsid w:val="0E172BD0"/>
    <w:rsid w:val="0E1D7B7F"/>
    <w:rsid w:val="0E7F55B8"/>
    <w:rsid w:val="0E86517F"/>
    <w:rsid w:val="0EC71015"/>
    <w:rsid w:val="0EC96BBA"/>
    <w:rsid w:val="0EDA1A8F"/>
    <w:rsid w:val="0EFD763E"/>
    <w:rsid w:val="0F056546"/>
    <w:rsid w:val="0F093DAA"/>
    <w:rsid w:val="0F0A1726"/>
    <w:rsid w:val="0F310742"/>
    <w:rsid w:val="0F4D2174"/>
    <w:rsid w:val="0F63585D"/>
    <w:rsid w:val="0F69111E"/>
    <w:rsid w:val="0F9713FE"/>
    <w:rsid w:val="0FDC43DB"/>
    <w:rsid w:val="0FF53599"/>
    <w:rsid w:val="102B1D21"/>
    <w:rsid w:val="102C315D"/>
    <w:rsid w:val="10770D42"/>
    <w:rsid w:val="10834717"/>
    <w:rsid w:val="10A36FD2"/>
    <w:rsid w:val="10A50104"/>
    <w:rsid w:val="10B20ACD"/>
    <w:rsid w:val="10E40B4A"/>
    <w:rsid w:val="111D5E4F"/>
    <w:rsid w:val="112724B2"/>
    <w:rsid w:val="115547C5"/>
    <w:rsid w:val="115B3410"/>
    <w:rsid w:val="1174440C"/>
    <w:rsid w:val="119229B8"/>
    <w:rsid w:val="119D7849"/>
    <w:rsid w:val="11C23280"/>
    <w:rsid w:val="11EC1275"/>
    <w:rsid w:val="121248A4"/>
    <w:rsid w:val="1242135C"/>
    <w:rsid w:val="127565D6"/>
    <w:rsid w:val="128A7265"/>
    <w:rsid w:val="12A8501B"/>
    <w:rsid w:val="12B945C1"/>
    <w:rsid w:val="12FF4F68"/>
    <w:rsid w:val="13301ADB"/>
    <w:rsid w:val="13317CD1"/>
    <w:rsid w:val="1350063D"/>
    <w:rsid w:val="136019A1"/>
    <w:rsid w:val="1361544C"/>
    <w:rsid w:val="138802B4"/>
    <w:rsid w:val="1389040E"/>
    <w:rsid w:val="138F18CE"/>
    <w:rsid w:val="139E0A9C"/>
    <w:rsid w:val="139F2F93"/>
    <w:rsid w:val="13A1683F"/>
    <w:rsid w:val="13AA6ECA"/>
    <w:rsid w:val="13AE5627"/>
    <w:rsid w:val="13EB14DD"/>
    <w:rsid w:val="143B2D27"/>
    <w:rsid w:val="149A0294"/>
    <w:rsid w:val="14A327A9"/>
    <w:rsid w:val="14C20D1C"/>
    <w:rsid w:val="14DA3DA1"/>
    <w:rsid w:val="15067DB4"/>
    <w:rsid w:val="151B47C7"/>
    <w:rsid w:val="151B6169"/>
    <w:rsid w:val="154178EA"/>
    <w:rsid w:val="15730C5B"/>
    <w:rsid w:val="15820826"/>
    <w:rsid w:val="15970CB0"/>
    <w:rsid w:val="15BC2DFB"/>
    <w:rsid w:val="15DC4D4B"/>
    <w:rsid w:val="15F03D23"/>
    <w:rsid w:val="162E6029"/>
    <w:rsid w:val="16465B94"/>
    <w:rsid w:val="16511361"/>
    <w:rsid w:val="1687278D"/>
    <w:rsid w:val="168B40B5"/>
    <w:rsid w:val="169C6BD0"/>
    <w:rsid w:val="16BE13E9"/>
    <w:rsid w:val="16F1108D"/>
    <w:rsid w:val="16FB5F3B"/>
    <w:rsid w:val="17155857"/>
    <w:rsid w:val="17164289"/>
    <w:rsid w:val="171A3DA7"/>
    <w:rsid w:val="178D0926"/>
    <w:rsid w:val="17950508"/>
    <w:rsid w:val="17AB26FC"/>
    <w:rsid w:val="17C37718"/>
    <w:rsid w:val="17D007B6"/>
    <w:rsid w:val="17FF28A5"/>
    <w:rsid w:val="183058C2"/>
    <w:rsid w:val="18315770"/>
    <w:rsid w:val="1843077F"/>
    <w:rsid w:val="184B58C3"/>
    <w:rsid w:val="186B72C8"/>
    <w:rsid w:val="189F63F4"/>
    <w:rsid w:val="19010C43"/>
    <w:rsid w:val="19084C73"/>
    <w:rsid w:val="19201A32"/>
    <w:rsid w:val="19A775AE"/>
    <w:rsid w:val="19F87860"/>
    <w:rsid w:val="1A054259"/>
    <w:rsid w:val="1A08634D"/>
    <w:rsid w:val="1A1863A4"/>
    <w:rsid w:val="1A296717"/>
    <w:rsid w:val="1A84350B"/>
    <w:rsid w:val="1AFB32C8"/>
    <w:rsid w:val="1B2577E2"/>
    <w:rsid w:val="1B424FF1"/>
    <w:rsid w:val="1B440D00"/>
    <w:rsid w:val="1B572AD3"/>
    <w:rsid w:val="1B777BA8"/>
    <w:rsid w:val="1B7F6005"/>
    <w:rsid w:val="1B83264C"/>
    <w:rsid w:val="1BC87783"/>
    <w:rsid w:val="1BDF4AB1"/>
    <w:rsid w:val="1C12027B"/>
    <w:rsid w:val="1C132CB9"/>
    <w:rsid w:val="1C504281"/>
    <w:rsid w:val="1C5E342A"/>
    <w:rsid w:val="1C795227"/>
    <w:rsid w:val="1CA72CF1"/>
    <w:rsid w:val="1CAE0A20"/>
    <w:rsid w:val="1CB70B42"/>
    <w:rsid w:val="1CCC26CA"/>
    <w:rsid w:val="1CCD4993"/>
    <w:rsid w:val="1CD73C02"/>
    <w:rsid w:val="1CDD1467"/>
    <w:rsid w:val="1CEC2490"/>
    <w:rsid w:val="1D172E57"/>
    <w:rsid w:val="1D3115FF"/>
    <w:rsid w:val="1DBB6A6B"/>
    <w:rsid w:val="1DC9144A"/>
    <w:rsid w:val="1DD27379"/>
    <w:rsid w:val="1DE74279"/>
    <w:rsid w:val="1E385296"/>
    <w:rsid w:val="1E40264C"/>
    <w:rsid w:val="1E606C25"/>
    <w:rsid w:val="1E9D6342"/>
    <w:rsid w:val="1EAD27B4"/>
    <w:rsid w:val="1EB16CEA"/>
    <w:rsid w:val="1EBD7FBA"/>
    <w:rsid w:val="1ECD1E7C"/>
    <w:rsid w:val="1EE8230A"/>
    <w:rsid w:val="1EED2D0F"/>
    <w:rsid w:val="1EF73789"/>
    <w:rsid w:val="1F11202A"/>
    <w:rsid w:val="1F44338C"/>
    <w:rsid w:val="1F545EF7"/>
    <w:rsid w:val="1F621AC5"/>
    <w:rsid w:val="1F740D19"/>
    <w:rsid w:val="1F8E2A23"/>
    <w:rsid w:val="1FAA599D"/>
    <w:rsid w:val="1FB9295C"/>
    <w:rsid w:val="1FD563CF"/>
    <w:rsid w:val="1FED41D1"/>
    <w:rsid w:val="1FEE796A"/>
    <w:rsid w:val="20272806"/>
    <w:rsid w:val="204E6676"/>
    <w:rsid w:val="205D1519"/>
    <w:rsid w:val="205F5316"/>
    <w:rsid w:val="2095594A"/>
    <w:rsid w:val="20A04203"/>
    <w:rsid w:val="210C40D4"/>
    <w:rsid w:val="21247254"/>
    <w:rsid w:val="212D37D3"/>
    <w:rsid w:val="213F3095"/>
    <w:rsid w:val="21407F52"/>
    <w:rsid w:val="217F33D3"/>
    <w:rsid w:val="2195668B"/>
    <w:rsid w:val="21B93C18"/>
    <w:rsid w:val="21BC7634"/>
    <w:rsid w:val="21BE5AD4"/>
    <w:rsid w:val="21D61543"/>
    <w:rsid w:val="21F13A51"/>
    <w:rsid w:val="2207503E"/>
    <w:rsid w:val="22193EB0"/>
    <w:rsid w:val="22344B8C"/>
    <w:rsid w:val="224B31E3"/>
    <w:rsid w:val="225E6D36"/>
    <w:rsid w:val="22607DC6"/>
    <w:rsid w:val="226E690F"/>
    <w:rsid w:val="228B3C29"/>
    <w:rsid w:val="22DC68C8"/>
    <w:rsid w:val="23081A49"/>
    <w:rsid w:val="231D546C"/>
    <w:rsid w:val="236D549D"/>
    <w:rsid w:val="237D7407"/>
    <w:rsid w:val="23A153BB"/>
    <w:rsid w:val="23A71AEF"/>
    <w:rsid w:val="23C65CBB"/>
    <w:rsid w:val="23FF4C86"/>
    <w:rsid w:val="240A50F9"/>
    <w:rsid w:val="241B144A"/>
    <w:rsid w:val="241F451E"/>
    <w:rsid w:val="2431068B"/>
    <w:rsid w:val="2438659C"/>
    <w:rsid w:val="245C52F8"/>
    <w:rsid w:val="2463385E"/>
    <w:rsid w:val="246C7E4D"/>
    <w:rsid w:val="247C3380"/>
    <w:rsid w:val="24803C7F"/>
    <w:rsid w:val="24892C19"/>
    <w:rsid w:val="24A5790D"/>
    <w:rsid w:val="24D67F3D"/>
    <w:rsid w:val="24DF2713"/>
    <w:rsid w:val="24E00D96"/>
    <w:rsid w:val="24E170AA"/>
    <w:rsid w:val="250B2026"/>
    <w:rsid w:val="250D568B"/>
    <w:rsid w:val="25134332"/>
    <w:rsid w:val="251E37AC"/>
    <w:rsid w:val="252C45B2"/>
    <w:rsid w:val="257E508F"/>
    <w:rsid w:val="2587779B"/>
    <w:rsid w:val="25CC3733"/>
    <w:rsid w:val="25DA0EE9"/>
    <w:rsid w:val="25E07BAD"/>
    <w:rsid w:val="25E506CA"/>
    <w:rsid w:val="262E711A"/>
    <w:rsid w:val="26327BC1"/>
    <w:rsid w:val="26414638"/>
    <w:rsid w:val="267C2BA3"/>
    <w:rsid w:val="26901767"/>
    <w:rsid w:val="26AB5F0B"/>
    <w:rsid w:val="26B038BE"/>
    <w:rsid w:val="26BF5712"/>
    <w:rsid w:val="27254C9D"/>
    <w:rsid w:val="27AA6552"/>
    <w:rsid w:val="27AB7429"/>
    <w:rsid w:val="27BA0428"/>
    <w:rsid w:val="27D46B0A"/>
    <w:rsid w:val="2803130A"/>
    <w:rsid w:val="2815431F"/>
    <w:rsid w:val="285C053E"/>
    <w:rsid w:val="28D37020"/>
    <w:rsid w:val="2902327B"/>
    <w:rsid w:val="293158F1"/>
    <w:rsid w:val="29512530"/>
    <w:rsid w:val="29697554"/>
    <w:rsid w:val="297A484B"/>
    <w:rsid w:val="29EA6437"/>
    <w:rsid w:val="29FA7F26"/>
    <w:rsid w:val="2A0D5A73"/>
    <w:rsid w:val="2A717471"/>
    <w:rsid w:val="2A737817"/>
    <w:rsid w:val="2A846944"/>
    <w:rsid w:val="2AC47DA0"/>
    <w:rsid w:val="2AFE074F"/>
    <w:rsid w:val="2B135CD1"/>
    <w:rsid w:val="2B3E14CC"/>
    <w:rsid w:val="2B505571"/>
    <w:rsid w:val="2B5D7E39"/>
    <w:rsid w:val="2B774832"/>
    <w:rsid w:val="2B8B50DE"/>
    <w:rsid w:val="2B940C41"/>
    <w:rsid w:val="2C2E03A4"/>
    <w:rsid w:val="2C3C0810"/>
    <w:rsid w:val="2C40339C"/>
    <w:rsid w:val="2C592A41"/>
    <w:rsid w:val="2C6A0806"/>
    <w:rsid w:val="2C8533BD"/>
    <w:rsid w:val="2C863BDD"/>
    <w:rsid w:val="2C8D4DF2"/>
    <w:rsid w:val="2CA06540"/>
    <w:rsid w:val="2CB766D5"/>
    <w:rsid w:val="2CB85EBB"/>
    <w:rsid w:val="2CF47E87"/>
    <w:rsid w:val="2CFD4C94"/>
    <w:rsid w:val="2D026F13"/>
    <w:rsid w:val="2D442F9B"/>
    <w:rsid w:val="2D4F7415"/>
    <w:rsid w:val="2D55663C"/>
    <w:rsid w:val="2DA11379"/>
    <w:rsid w:val="2DCC7592"/>
    <w:rsid w:val="2DCF7C84"/>
    <w:rsid w:val="2E4B2A44"/>
    <w:rsid w:val="2E593BD9"/>
    <w:rsid w:val="2E642A90"/>
    <w:rsid w:val="2E7E6696"/>
    <w:rsid w:val="2E9B5E4D"/>
    <w:rsid w:val="2EC10058"/>
    <w:rsid w:val="2EE11BBB"/>
    <w:rsid w:val="2EF26E54"/>
    <w:rsid w:val="2F0507D2"/>
    <w:rsid w:val="2F1251F2"/>
    <w:rsid w:val="2F12691B"/>
    <w:rsid w:val="2F145DEF"/>
    <w:rsid w:val="2F164D03"/>
    <w:rsid w:val="2F32386F"/>
    <w:rsid w:val="2F4041C5"/>
    <w:rsid w:val="2F4A1A43"/>
    <w:rsid w:val="2F527C47"/>
    <w:rsid w:val="2F5F18C7"/>
    <w:rsid w:val="2F680FB0"/>
    <w:rsid w:val="2F763010"/>
    <w:rsid w:val="2FA43556"/>
    <w:rsid w:val="2FAB18A7"/>
    <w:rsid w:val="2FE121C4"/>
    <w:rsid w:val="2FF35C7F"/>
    <w:rsid w:val="300C3127"/>
    <w:rsid w:val="30757753"/>
    <w:rsid w:val="308A7014"/>
    <w:rsid w:val="30962F3E"/>
    <w:rsid w:val="30D17E68"/>
    <w:rsid w:val="30DD0B04"/>
    <w:rsid w:val="30FF2795"/>
    <w:rsid w:val="3104005C"/>
    <w:rsid w:val="31041101"/>
    <w:rsid w:val="310D2A9F"/>
    <w:rsid w:val="316C03FB"/>
    <w:rsid w:val="31915735"/>
    <w:rsid w:val="31BA37C1"/>
    <w:rsid w:val="32052414"/>
    <w:rsid w:val="321340A6"/>
    <w:rsid w:val="32301AE3"/>
    <w:rsid w:val="3249317D"/>
    <w:rsid w:val="326239D6"/>
    <w:rsid w:val="32743FD7"/>
    <w:rsid w:val="327F5333"/>
    <w:rsid w:val="329A6ACE"/>
    <w:rsid w:val="329F03DF"/>
    <w:rsid w:val="32A06931"/>
    <w:rsid w:val="32B63D4B"/>
    <w:rsid w:val="32C71585"/>
    <w:rsid w:val="32DA4D50"/>
    <w:rsid w:val="32E567A7"/>
    <w:rsid w:val="32F7144A"/>
    <w:rsid w:val="33596B12"/>
    <w:rsid w:val="336C703B"/>
    <w:rsid w:val="337714EE"/>
    <w:rsid w:val="33797245"/>
    <w:rsid w:val="337D5E43"/>
    <w:rsid w:val="338C04D6"/>
    <w:rsid w:val="33B63187"/>
    <w:rsid w:val="33D364EE"/>
    <w:rsid w:val="3415248C"/>
    <w:rsid w:val="34163C77"/>
    <w:rsid w:val="342919FE"/>
    <w:rsid w:val="34362B69"/>
    <w:rsid w:val="3439569D"/>
    <w:rsid w:val="34786487"/>
    <w:rsid w:val="348E4BFF"/>
    <w:rsid w:val="349F636B"/>
    <w:rsid w:val="34C34180"/>
    <w:rsid w:val="34C737E6"/>
    <w:rsid w:val="34DE5DCD"/>
    <w:rsid w:val="34E1194D"/>
    <w:rsid w:val="350C7A1A"/>
    <w:rsid w:val="351A4C15"/>
    <w:rsid w:val="357205B3"/>
    <w:rsid w:val="35885313"/>
    <w:rsid w:val="35DE3F72"/>
    <w:rsid w:val="35DF3A8D"/>
    <w:rsid w:val="360B1D73"/>
    <w:rsid w:val="36144313"/>
    <w:rsid w:val="361F3323"/>
    <w:rsid w:val="3651059D"/>
    <w:rsid w:val="365F023B"/>
    <w:rsid w:val="36652FB7"/>
    <w:rsid w:val="36C16D48"/>
    <w:rsid w:val="36DF520B"/>
    <w:rsid w:val="36E60988"/>
    <w:rsid w:val="36E93760"/>
    <w:rsid w:val="37057DDE"/>
    <w:rsid w:val="37157B14"/>
    <w:rsid w:val="371B7DB3"/>
    <w:rsid w:val="37237FBD"/>
    <w:rsid w:val="373A314E"/>
    <w:rsid w:val="37515AFF"/>
    <w:rsid w:val="37523682"/>
    <w:rsid w:val="376855C9"/>
    <w:rsid w:val="37712677"/>
    <w:rsid w:val="37714CBA"/>
    <w:rsid w:val="3784394E"/>
    <w:rsid w:val="37D02183"/>
    <w:rsid w:val="37D20EE5"/>
    <w:rsid w:val="37E3516A"/>
    <w:rsid w:val="37F00D14"/>
    <w:rsid w:val="37F21BD6"/>
    <w:rsid w:val="37F434A4"/>
    <w:rsid w:val="38144F46"/>
    <w:rsid w:val="381D0C5E"/>
    <w:rsid w:val="38356861"/>
    <w:rsid w:val="38393323"/>
    <w:rsid w:val="38410CEB"/>
    <w:rsid w:val="388247F6"/>
    <w:rsid w:val="38900AD9"/>
    <w:rsid w:val="38AB1CD2"/>
    <w:rsid w:val="38AE3BB0"/>
    <w:rsid w:val="38D77892"/>
    <w:rsid w:val="38DB1F09"/>
    <w:rsid w:val="38F73026"/>
    <w:rsid w:val="394E03DB"/>
    <w:rsid w:val="395607A0"/>
    <w:rsid w:val="39882443"/>
    <w:rsid w:val="39B535F0"/>
    <w:rsid w:val="39B57119"/>
    <w:rsid w:val="39DB336A"/>
    <w:rsid w:val="39EC7EBC"/>
    <w:rsid w:val="3A1F636F"/>
    <w:rsid w:val="3A370821"/>
    <w:rsid w:val="3A4A58E1"/>
    <w:rsid w:val="3A4C17D3"/>
    <w:rsid w:val="3A5D3D12"/>
    <w:rsid w:val="3A9D37FB"/>
    <w:rsid w:val="3AB06E32"/>
    <w:rsid w:val="3ACB5746"/>
    <w:rsid w:val="3B002B68"/>
    <w:rsid w:val="3B070AA1"/>
    <w:rsid w:val="3B0F6F35"/>
    <w:rsid w:val="3B221001"/>
    <w:rsid w:val="3B343541"/>
    <w:rsid w:val="3B54709C"/>
    <w:rsid w:val="3B7042E5"/>
    <w:rsid w:val="3BA008F2"/>
    <w:rsid w:val="3BAB221C"/>
    <w:rsid w:val="3BB20883"/>
    <w:rsid w:val="3BB22A62"/>
    <w:rsid w:val="3BE83E67"/>
    <w:rsid w:val="3BEB5061"/>
    <w:rsid w:val="3C0C7420"/>
    <w:rsid w:val="3C342CB5"/>
    <w:rsid w:val="3CA02A19"/>
    <w:rsid w:val="3CA142B8"/>
    <w:rsid w:val="3CAA47F3"/>
    <w:rsid w:val="3CCC4BD1"/>
    <w:rsid w:val="3CE10723"/>
    <w:rsid w:val="3CE866EC"/>
    <w:rsid w:val="3CEF2214"/>
    <w:rsid w:val="3CF8749F"/>
    <w:rsid w:val="3CFE1EA1"/>
    <w:rsid w:val="3D0B3DD7"/>
    <w:rsid w:val="3D0F64F2"/>
    <w:rsid w:val="3D1F0EBF"/>
    <w:rsid w:val="3D3449EE"/>
    <w:rsid w:val="3D6371C7"/>
    <w:rsid w:val="3DA8275C"/>
    <w:rsid w:val="3DBC5C66"/>
    <w:rsid w:val="3DC345FA"/>
    <w:rsid w:val="3DCF028A"/>
    <w:rsid w:val="3DF136E8"/>
    <w:rsid w:val="3E2B7359"/>
    <w:rsid w:val="3E441C7D"/>
    <w:rsid w:val="3E537B52"/>
    <w:rsid w:val="3E774042"/>
    <w:rsid w:val="3E796FCD"/>
    <w:rsid w:val="3EBF6AF6"/>
    <w:rsid w:val="3F054C57"/>
    <w:rsid w:val="3F194D84"/>
    <w:rsid w:val="3F2C44E8"/>
    <w:rsid w:val="3F831F54"/>
    <w:rsid w:val="3F8D31F7"/>
    <w:rsid w:val="3F943749"/>
    <w:rsid w:val="3F9F3E20"/>
    <w:rsid w:val="3FB5755C"/>
    <w:rsid w:val="3FC60A1C"/>
    <w:rsid w:val="3FC956FF"/>
    <w:rsid w:val="3FF309D1"/>
    <w:rsid w:val="40021780"/>
    <w:rsid w:val="400F1A8E"/>
    <w:rsid w:val="4083760F"/>
    <w:rsid w:val="408C090C"/>
    <w:rsid w:val="40A36A71"/>
    <w:rsid w:val="40DB36E7"/>
    <w:rsid w:val="410045B8"/>
    <w:rsid w:val="410E4736"/>
    <w:rsid w:val="416130D3"/>
    <w:rsid w:val="41A87B35"/>
    <w:rsid w:val="41D3631F"/>
    <w:rsid w:val="41D376E9"/>
    <w:rsid w:val="41F40A4F"/>
    <w:rsid w:val="41F466FD"/>
    <w:rsid w:val="420972D6"/>
    <w:rsid w:val="421215FC"/>
    <w:rsid w:val="42217CB3"/>
    <w:rsid w:val="42A67A24"/>
    <w:rsid w:val="42BB022E"/>
    <w:rsid w:val="42D846B9"/>
    <w:rsid w:val="42EE5981"/>
    <w:rsid w:val="42F94010"/>
    <w:rsid w:val="431101F2"/>
    <w:rsid w:val="433709F2"/>
    <w:rsid w:val="43407E5D"/>
    <w:rsid w:val="4363707E"/>
    <w:rsid w:val="43A530D5"/>
    <w:rsid w:val="43A63ACD"/>
    <w:rsid w:val="43A7465A"/>
    <w:rsid w:val="43DD5A2B"/>
    <w:rsid w:val="43F80349"/>
    <w:rsid w:val="44010F7F"/>
    <w:rsid w:val="440962BF"/>
    <w:rsid w:val="440D5045"/>
    <w:rsid w:val="44136EA0"/>
    <w:rsid w:val="444F08C8"/>
    <w:rsid w:val="44683FA9"/>
    <w:rsid w:val="44C40C6E"/>
    <w:rsid w:val="44E438A4"/>
    <w:rsid w:val="44F14EB5"/>
    <w:rsid w:val="45067A95"/>
    <w:rsid w:val="451927B1"/>
    <w:rsid w:val="45684AB3"/>
    <w:rsid w:val="45765A37"/>
    <w:rsid w:val="457A1E0B"/>
    <w:rsid w:val="457A637E"/>
    <w:rsid w:val="457C5A2E"/>
    <w:rsid w:val="459247E8"/>
    <w:rsid w:val="45A57801"/>
    <w:rsid w:val="45BE6191"/>
    <w:rsid w:val="460C5979"/>
    <w:rsid w:val="462F15B4"/>
    <w:rsid w:val="46322114"/>
    <w:rsid w:val="464D67A7"/>
    <w:rsid w:val="4654234E"/>
    <w:rsid w:val="46950871"/>
    <w:rsid w:val="46A81D06"/>
    <w:rsid w:val="46B81357"/>
    <w:rsid w:val="46C2730E"/>
    <w:rsid w:val="46E12759"/>
    <w:rsid w:val="46F376B5"/>
    <w:rsid w:val="47083B35"/>
    <w:rsid w:val="470E1C44"/>
    <w:rsid w:val="47120A94"/>
    <w:rsid w:val="472D76EC"/>
    <w:rsid w:val="473E0378"/>
    <w:rsid w:val="47770D34"/>
    <w:rsid w:val="477941E7"/>
    <w:rsid w:val="477F3153"/>
    <w:rsid w:val="47913E0A"/>
    <w:rsid w:val="47A90F91"/>
    <w:rsid w:val="47B00298"/>
    <w:rsid w:val="47BB2256"/>
    <w:rsid w:val="47C01792"/>
    <w:rsid w:val="47C7066A"/>
    <w:rsid w:val="47CC2B23"/>
    <w:rsid w:val="4808150F"/>
    <w:rsid w:val="48712547"/>
    <w:rsid w:val="487713F0"/>
    <w:rsid w:val="488323FD"/>
    <w:rsid w:val="489E5439"/>
    <w:rsid w:val="48B01327"/>
    <w:rsid w:val="48D1344C"/>
    <w:rsid w:val="48D23129"/>
    <w:rsid w:val="48E73AB4"/>
    <w:rsid w:val="49197FB0"/>
    <w:rsid w:val="493578C2"/>
    <w:rsid w:val="494D2151"/>
    <w:rsid w:val="49E9233D"/>
    <w:rsid w:val="4A5743A3"/>
    <w:rsid w:val="4A613930"/>
    <w:rsid w:val="4A722963"/>
    <w:rsid w:val="4A873B4F"/>
    <w:rsid w:val="4AAD1944"/>
    <w:rsid w:val="4AAE64B2"/>
    <w:rsid w:val="4AC31003"/>
    <w:rsid w:val="4ACC4FFF"/>
    <w:rsid w:val="4ACC5E85"/>
    <w:rsid w:val="4AE93159"/>
    <w:rsid w:val="4B283586"/>
    <w:rsid w:val="4B440553"/>
    <w:rsid w:val="4B5460CA"/>
    <w:rsid w:val="4B8F34D0"/>
    <w:rsid w:val="4B9B1C48"/>
    <w:rsid w:val="4BD0339A"/>
    <w:rsid w:val="4BF03DC8"/>
    <w:rsid w:val="4C0C5A57"/>
    <w:rsid w:val="4C0E7BC3"/>
    <w:rsid w:val="4C2536DE"/>
    <w:rsid w:val="4C29524D"/>
    <w:rsid w:val="4CC9255E"/>
    <w:rsid w:val="4CD24D11"/>
    <w:rsid w:val="4D462159"/>
    <w:rsid w:val="4D571E3F"/>
    <w:rsid w:val="4D5C5FAC"/>
    <w:rsid w:val="4D9429A8"/>
    <w:rsid w:val="4DA047C6"/>
    <w:rsid w:val="4DBF6E51"/>
    <w:rsid w:val="4DC605B6"/>
    <w:rsid w:val="4DD807D4"/>
    <w:rsid w:val="4DEC0985"/>
    <w:rsid w:val="4DF35865"/>
    <w:rsid w:val="4E157A18"/>
    <w:rsid w:val="4E192AC4"/>
    <w:rsid w:val="4E2658E6"/>
    <w:rsid w:val="4E27683A"/>
    <w:rsid w:val="4E3E5FCA"/>
    <w:rsid w:val="4E5475D2"/>
    <w:rsid w:val="4E9836A8"/>
    <w:rsid w:val="4EB23297"/>
    <w:rsid w:val="4EC50D95"/>
    <w:rsid w:val="4EC62132"/>
    <w:rsid w:val="4EC705EC"/>
    <w:rsid w:val="4EC93FBD"/>
    <w:rsid w:val="4F027C1E"/>
    <w:rsid w:val="4F2765B1"/>
    <w:rsid w:val="4F285975"/>
    <w:rsid w:val="4F4134A5"/>
    <w:rsid w:val="4F7E333B"/>
    <w:rsid w:val="4FBB5E80"/>
    <w:rsid w:val="4FC40B58"/>
    <w:rsid w:val="4FD929B3"/>
    <w:rsid w:val="50141410"/>
    <w:rsid w:val="503E4709"/>
    <w:rsid w:val="50554158"/>
    <w:rsid w:val="50887CB0"/>
    <w:rsid w:val="50B4498B"/>
    <w:rsid w:val="50C05272"/>
    <w:rsid w:val="50C53B21"/>
    <w:rsid w:val="510D4C8D"/>
    <w:rsid w:val="512C687A"/>
    <w:rsid w:val="51796EDE"/>
    <w:rsid w:val="517D4D31"/>
    <w:rsid w:val="51822456"/>
    <w:rsid w:val="51867298"/>
    <w:rsid w:val="51AD0A0B"/>
    <w:rsid w:val="51DB13CA"/>
    <w:rsid w:val="51EB25FD"/>
    <w:rsid w:val="52195EDF"/>
    <w:rsid w:val="52313387"/>
    <w:rsid w:val="52326E4F"/>
    <w:rsid w:val="52380733"/>
    <w:rsid w:val="524060E4"/>
    <w:rsid w:val="5251759D"/>
    <w:rsid w:val="525C66C5"/>
    <w:rsid w:val="52744531"/>
    <w:rsid w:val="52B63FF4"/>
    <w:rsid w:val="52BC5461"/>
    <w:rsid w:val="52C0248E"/>
    <w:rsid w:val="52CC766D"/>
    <w:rsid w:val="52E04D27"/>
    <w:rsid w:val="52EB7199"/>
    <w:rsid w:val="52F07751"/>
    <w:rsid w:val="53104F2D"/>
    <w:rsid w:val="531C1FC4"/>
    <w:rsid w:val="533C14FB"/>
    <w:rsid w:val="538F5761"/>
    <w:rsid w:val="539A390F"/>
    <w:rsid w:val="539B0488"/>
    <w:rsid w:val="53A41F8E"/>
    <w:rsid w:val="53AD6B40"/>
    <w:rsid w:val="53BB31B7"/>
    <w:rsid w:val="53C60EE7"/>
    <w:rsid w:val="53DB3477"/>
    <w:rsid w:val="53E52AD5"/>
    <w:rsid w:val="53F62D3A"/>
    <w:rsid w:val="53FB3C11"/>
    <w:rsid w:val="541E0EA0"/>
    <w:rsid w:val="545177CB"/>
    <w:rsid w:val="546224E7"/>
    <w:rsid w:val="54AF6B42"/>
    <w:rsid w:val="54C960CE"/>
    <w:rsid w:val="55406494"/>
    <w:rsid w:val="5545563A"/>
    <w:rsid w:val="55553D2C"/>
    <w:rsid w:val="555574E1"/>
    <w:rsid w:val="55593320"/>
    <w:rsid w:val="555A684A"/>
    <w:rsid w:val="558948AE"/>
    <w:rsid w:val="55913A13"/>
    <w:rsid w:val="55C14585"/>
    <w:rsid w:val="55D67401"/>
    <w:rsid w:val="55DB558C"/>
    <w:rsid w:val="55DD6F2A"/>
    <w:rsid w:val="55E66DE6"/>
    <w:rsid w:val="55FB27DB"/>
    <w:rsid w:val="55FD3A1F"/>
    <w:rsid w:val="55FD57BE"/>
    <w:rsid w:val="55FE02F9"/>
    <w:rsid w:val="56013F76"/>
    <w:rsid w:val="561A0469"/>
    <w:rsid w:val="56422F9A"/>
    <w:rsid w:val="565C7EE0"/>
    <w:rsid w:val="568B355D"/>
    <w:rsid w:val="569D1DF0"/>
    <w:rsid w:val="56AA25FF"/>
    <w:rsid w:val="56E23970"/>
    <w:rsid w:val="56F71621"/>
    <w:rsid w:val="573C506B"/>
    <w:rsid w:val="575A7304"/>
    <w:rsid w:val="577A3C7D"/>
    <w:rsid w:val="577B6BC3"/>
    <w:rsid w:val="577D247B"/>
    <w:rsid w:val="578F220A"/>
    <w:rsid w:val="579C13D2"/>
    <w:rsid w:val="57A7145A"/>
    <w:rsid w:val="57F74C7A"/>
    <w:rsid w:val="57FB73AA"/>
    <w:rsid w:val="57FC07D9"/>
    <w:rsid w:val="58177E10"/>
    <w:rsid w:val="581B5327"/>
    <w:rsid w:val="58422043"/>
    <w:rsid w:val="58500F22"/>
    <w:rsid w:val="58710315"/>
    <w:rsid w:val="58B06786"/>
    <w:rsid w:val="58B614DA"/>
    <w:rsid w:val="58BC5557"/>
    <w:rsid w:val="58E61853"/>
    <w:rsid w:val="58EB53F3"/>
    <w:rsid w:val="58FB5F91"/>
    <w:rsid w:val="590208B8"/>
    <w:rsid w:val="590436B6"/>
    <w:rsid w:val="591C0009"/>
    <w:rsid w:val="59220E85"/>
    <w:rsid w:val="59632EA1"/>
    <w:rsid w:val="596D1F3A"/>
    <w:rsid w:val="59D14E2F"/>
    <w:rsid w:val="59E61B64"/>
    <w:rsid w:val="5A022789"/>
    <w:rsid w:val="5A2046D4"/>
    <w:rsid w:val="5A283911"/>
    <w:rsid w:val="5A3B5B70"/>
    <w:rsid w:val="5A6B71CB"/>
    <w:rsid w:val="5A6F78C6"/>
    <w:rsid w:val="5AB31098"/>
    <w:rsid w:val="5ACF0F3A"/>
    <w:rsid w:val="5AD22BBE"/>
    <w:rsid w:val="5B687229"/>
    <w:rsid w:val="5B6C26DE"/>
    <w:rsid w:val="5B990441"/>
    <w:rsid w:val="5BCA199C"/>
    <w:rsid w:val="5BF92461"/>
    <w:rsid w:val="5C2C1728"/>
    <w:rsid w:val="5C3D5859"/>
    <w:rsid w:val="5C5F6E9A"/>
    <w:rsid w:val="5C6B1600"/>
    <w:rsid w:val="5C7960E9"/>
    <w:rsid w:val="5C921AD0"/>
    <w:rsid w:val="5CA020A8"/>
    <w:rsid w:val="5CC66B99"/>
    <w:rsid w:val="5CFA3ADB"/>
    <w:rsid w:val="5D4C7AD8"/>
    <w:rsid w:val="5D6A62E1"/>
    <w:rsid w:val="5D787300"/>
    <w:rsid w:val="5D9A19C7"/>
    <w:rsid w:val="5D9D35FA"/>
    <w:rsid w:val="5DF13C83"/>
    <w:rsid w:val="5DFD51DB"/>
    <w:rsid w:val="5E072EA7"/>
    <w:rsid w:val="5E0D36E5"/>
    <w:rsid w:val="5E911548"/>
    <w:rsid w:val="5EA608AA"/>
    <w:rsid w:val="5EA6379D"/>
    <w:rsid w:val="5EE4122E"/>
    <w:rsid w:val="5EFC1424"/>
    <w:rsid w:val="5F50230E"/>
    <w:rsid w:val="5F5E55EC"/>
    <w:rsid w:val="5F764AFD"/>
    <w:rsid w:val="5FEE53E1"/>
    <w:rsid w:val="603F6C6F"/>
    <w:rsid w:val="604C08B9"/>
    <w:rsid w:val="606103F7"/>
    <w:rsid w:val="607374DC"/>
    <w:rsid w:val="607C3753"/>
    <w:rsid w:val="60912B7C"/>
    <w:rsid w:val="60C30855"/>
    <w:rsid w:val="60D37EAF"/>
    <w:rsid w:val="60DB1EFF"/>
    <w:rsid w:val="60DE6095"/>
    <w:rsid w:val="60E2600C"/>
    <w:rsid w:val="60E9600B"/>
    <w:rsid w:val="60FC647A"/>
    <w:rsid w:val="61280E5E"/>
    <w:rsid w:val="61421EFD"/>
    <w:rsid w:val="614716CE"/>
    <w:rsid w:val="614B5348"/>
    <w:rsid w:val="615C5041"/>
    <w:rsid w:val="61996EC4"/>
    <w:rsid w:val="61AA3034"/>
    <w:rsid w:val="61E62A2A"/>
    <w:rsid w:val="620D38FD"/>
    <w:rsid w:val="621E51BC"/>
    <w:rsid w:val="62216C6C"/>
    <w:rsid w:val="6240718C"/>
    <w:rsid w:val="6245063D"/>
    <w:rsid w:val="624F54FF"/>
    <w:rsid w:val="627D6E80"/>
    <w:rsid w:val="628C1D03"/>
    <w:rsid w:val="62B569E6"/>
    <w:rsid w:val="62D074F3"/>
    <w:rsid w:val="62EA08CF"/>
    <w:rsid w:val="62EF6179"/>
    <w:rsid w:val="633A6746"/>
    <w:rsid w:val="633D7663"/>
    <w:rsid w:val="639C388C"/>
    <w:rsid w:val="639E61A5"/>
    <w:rsid w:val="63C57D48"/>
    <w:rsid w:val="63DB6813"/>
    <w:rsid w:val="63FE0D55"/>
    <w:rsid w:val="645F2B4B"/>
    <w:rsid w:val="64D16C41"/>
    <w:rsid w:val="64E63530"/>
    <w:rsid w:val="64F93532"/>
    <w:rsid w:val="64FE5610"/>
    <w:rsid w:val="650D717F"/>
    <w:rsid w:val="651D4015"/>
    <w:rsid w:val="655D449B"/>
    <w:rsid w:val="6560510E"/>
    <w:rsid w:val="65636C8E"/>
    <w:rsid w:val="65880ED5"/>
    <w:rsid w:val="65885282"/>
    <w:rsid w:val="65A43193"/>
    <w:rsid w:val="65AD322B"/>
    <w:rsid w:val="65C72A95"/>
    <w:rsid w:val="65CC6260"/>
    <w:rsid w:val="65CE03DF"/>
    <w:rsid w:val="65D3669A"/>
    <w:rsid w:val="65D6683A"/>
    <w:rsid w:val="661D74D6"/>
    <w:rsid w:val="662E4B5F"/>
    <w:rsid w:val="664805B8"/>
    <w:rsid w:val="66657E78"/>
    <w:rsid w:val="667E3F6E"/>
    <w:rsid w:val="66A33DDC"/>
    <w:rsid w:val="66C66465"/>
    <w:rsid w:val="66CD764F"/>
    <w:rsid w:val="66E60894"/>
    <w:rsid w:val="66FF757A"/>
    <w:rsid w:val="672B5340"/>
    <w:rsid w:val="674A453F"/>
    <w:rsid w:val="6755427F"/>
    <w:rsid w:val="679A2001"/>
    <w:rsid w:val="67A262C6"/>
    <w:rsid w:val="67AE1682"/>
    <w:rsid w:val="67AF5AC5"/>
    <w:rsid w:val="67CC58D4"/>
    <w:rsid w:val="67D44E71"/>
    <w:rsid w:val="67FC6F39"/>
    <w:rsid w:val="68050472"/>
    <w:rsid w:val="685063F8"/>
    <w:rsid w:val="68692337"/>
    <w:rsid w:val="68A44353"/>
    <w:rsid w:val="68A95288"/>
    <w:rsid w:val="68B96553"/>
    <w:rsid w:val="68D746D7"/>
    <w:rsid w:val="68F85254"/>
    <w:rsid w:val="69021D00"/>
    <w:rsid w:val="690F418B"/>
    <w:rsid w:val="69663C8F"/>
    <w:rsid w:val="6971710A"/>
    <w:rsid w:val="69A44437"/>
    <w:rsid w:val="69B955F5"/>
    <w:rsid w:val="69D53FB9"/>
    <w:rsid w:val="69F22286"/>
    <w:rsid w:val="6A4C156E"/>
    <w:rsid w:val="6A4C3EB0"/>
    <w:rsid w:val="6A7A2736"/>
    <w:rsid w:val="6A7B4B9C"/>
    <w:rsid w:val="6A861A9E"/>
    <w:rsid w:val="6ACF16C3"/>
    <w:rsid w:val="6AE87DB0"/>
    <w:rsid w:val="6AEF3AA7"/>
    <w:rsid w:val="6B141743"/>
    <w:rsid w:val="6B242CB6"/>
    <w:rsid w:val="6B2B5D9D"/>
    <w:rsid w:val="6B490423"/>
    <w:rsid w:val="6B4C50B7"/>
    <w:rsid w:val="6B797179"/>
    <w:rsid w:val="6B7C51CC"/>
    <w:rsid w:val="6B970AD4"/>
    <w:rsid w:val="6BC76E0D"/>
    <w:rsid w:val="6BD71937"/>
    <w:rsid w:val="6C25725C"/>
    <w:rsid w:val="6C5503DA"/>
    <w:rsid w:val="6C73220C"/>
    <w:rsid w:val="6C89456C"/>
    <w:rsid w:val="6CF8209A"/>
    <w:rsid w:val="6D0B42F4"/>
    <w:rsid w:val="6D16208F"/>
    <w:rsid w:val="6D3C10C2"/>
    <w:rsid w:val="6D414E1F"/>
    <w:rsid w:val="6D667D08"/>
    <w:rsid w:val="6D93457C"/>
    <w:rsid w:val="6D980FB9"/>
    <w:rsid w:val="6DA651B2"/>
    <w:rsid w:val="6DAB6D0E"/>
    <w:rsid w:val="6DAC1469"/>
    <w:rsid w:val="6DAF4AB2"/>
    <w:rsid w:val="6DB91E5B"/>
    <w:rsid w:val="6E2B62EA"/>
    <w:rsid w:val="6E300DF1"/>
    <w:rsid w:val="6E97718E"/>
    <w:rsid w:val="6E993208"/>
    <w:rsid w:val="6EAF0E12"/>
    <w:rsid w:val="6EB45AAE"/>
    <w:rsid w:val="6EBA6FC8"/>
    <w:rsid w:val="6ECF299E"/>
    <w:rsid w:val="6EED3726"/>
    <w:rsid w:val="6F1412BD"/>
    <w:rsid w:val="6F166925"/>
    <w:rsid w:val="6F603769"/>
    <w:rsid w:val="6F901B66"/>
    <w:rsid w:val="6F904121"/>
    <w:rsid w:val="6F9C3B59"/>
    <w:rsid w:val="6FA629D4"/>
    <w:rsid w:val="6FBF5C46"/>
    <w:rsid w:val="6FD10552"/>
    <w:rsid w:val="70326005"/>
    <w:rsid w:val="70940037"/>
    <w:rsid w:val="70AF2F64"/>
    <w:rsid w:val="70B5123E"/>
    <w:rsid w:val="70BB2EF0"/>
    <w:rsid w:val="70F82402"/>
    <w:rsid w:val="712E718A"/>
    <w:rsid w:val="7153156A"/>
    <w:rsid w:val="71570257"/>
    <w:rsid w:val="716B6229"/>
    <w:rsid w:val="71915503"/>
    <w:rsid w:val="71A92859"/>
    <w:rsid w:val="71D8457E"/>
    <w:rsid w:val="71DB44A2"/>
    <w:rsid w:val="71E20C76"/>
    <w:rsid w:val="71F80849"/>
    <w:rsid w:val="720B325E"/>
    <w:rsid w:val="723C0D11"/>
    <w:rsid w:val="72411A48"/>
    <w:rsid w:val="72454855"/>
    <w:rsid w:val="72547EC4"/>
    <w:rsid w:val="725D4D53"/>
    <w:rsid w:val="725E14F7"/>
    <w:rsid w:val="72886F6A"/>
    <w:rsid w:val="72CF4263"/>
    <w:rsid w:val="73455C21"/>
    <w:rsid w:val="735161D0"/>
    <w:rsid w:val="735E01CF"/>
    <w:rsid w:val="73AB7F97"/>
    <w:rsid w:val="73B8077C"/>
    <w:rsid w:val="73C41938"/>
    <w:rsid w:val="73D425F7"/>
    <w:rsid w:val="73E13215"/>
    <w:rsid w:val="73E84C8E"/>
    <w:rsid w:val="73F735AF"/>
    <w:rsid w:val="7420188B"/>
    <w:rsid w:val="7425472E"/>
    <w:rsid w:val="745D3418"/>
    <w:rsid w:val="74AA2F50"/>
    <w:rsid w:val="74E93770"/>
    <w:rsid w:val="75014B8F"/>
    <w:rsid w:val="750A2023"/>
    <w:rsid w:val="75165E8F"/>
    <w:rsid w:val="75611212"/>
    <w:rsid w:val="75791C85"/>
    <w:rsid w:val="75793FE9"/>
    <w:rsid w:val="75BB51C1"/>
    <w:rsid w:val="75BF7A08"/>
    <w:rsid w:val="75E40C40"/>
    <w:rsid w:val="75FA6C1A"/>
    <w:rsid w:val="764A7DFA"/>
    <w:rsid w:val="76574574"/>
    <w:rsid w:val="76643AA0"/>
    <w:rsid w:val="7676736A"/>
    <w:rsid w:val="76933951"/>
    <w:rsid w:val="76DF3D50"/>
    <w:rsid w:val="771D661B"/>
    <w:rsid w:val="771F475C"/>
    <w:rsid w:val="771F7714"/>
    <w:rsid w:val="773E4513"/>
    <w:rsid w:val="77452F68"/>
    <w:rsid w:val="77525D87"/>
    <w:rsid w:val="775A780B"/>
    <w:rsid w:val="7764683F"/>
    <w:rsid w:val="77B108E4"/>
    <w:rsid w:val="77B641D9"/>
    <w:rsid w:val="77B84934"/>
    <w:rsid w:val="77C651A7"/>
    <w:rsid w:val="77E15536"/>
    <w:rsid w:val="78326432"/>
    <w:rsid w:val="783C23EB"/>
    <w:rsid w:val="784C06E5"/>
    <w:rsid w:val="78662AD7"/>
    <w:rsid w:val="78782A0D"/>
    <w:rsid w:val="78797925"/>
    <w:rsid w:val="787A701F"/>
    <w:rsid w:val="78AC1FEA"/>
    <w:rsid w:val="78B01A78"/>
    <w:rsid w:val="790A10CB"/>
    <w:rsid w:val="792977D4"/>
    <w:rsid w:val="793E4823"/>
    <w:rsid w:val="79485294"/>
    <w:rsid w:val="795E552B"/>
    <w:rsid w:val="798537BE"/>
    <w:rsid w:val="799C2707"/>
    <w:rsid w:val="79A2171F"/>
    <w:rsid w:val="79A252FF"/>
    <w:rsid w:val="79AB0E36"/>
    <w:rsid w:val="79B86297"/>
    <w:rsid w:val="79D33056"/>
    <w:rsid w:val="79E5405B"/>
    <w:rsid w:val="79ED12A4"/>
    <w:rsid w:val="79F159CD"/>
    <w:rsid w:val="7A015D03"/>
    <w:rsid w:val="7A0B5628"/>
    <w:rsid w:val="7A0F6B5B"/>
    <w:rsid w:val="7A5D4556"/>
    <w:rsid w:val="7AE236D7"/>
    <w:rsid w:val="7AEF0CD2"/>
    <w:rsid w:val="7B3900BD"/>
    <w:rsid w:val="7B5F27E7"/>
    <w:rsid w:val="7B8F0C9B"/>
    <w:rsid w:val="7BAD6246"/>
    <w:rsid w:val="7BDD441D"/>
    <w:rsid w:val="7C073D88"/>
    <w:rsid w:val="7C120A01"/>
    <w:rsid w:val="7C26369C"/>
    <w:rsid w:val="7C3E6BF1"/>
    <w:rsid w:val="7C4D1850"/>
    <w:rsid w:val="7C7E1F12"/>
    <w:rsid w:val="7C9A79F4"/>
    <w:rsid w:val="7C9E5A24"/>
    <w:rsid w:val="7CAC00CB"/>
    <w:rsid w:val="7CB0518C"/>
    <w:rsid w:val="7D0B51CF"/>
    <w:rsid w:val="7D365C28"/>
    <w:rsid w:val="7D415807"/>
    <w:rsid w:val="7D481C8C"/>
    <w:rsid w:val="7D4D3ABE"/>
    <w:rsid w:val="7D575412"/>
    <w:rsid w:val="7D62117D"/>
    <w:rsid w:val="7D6C6FCC"/>
    <w:rsid w:val="7D7F522E"/>
    <w:rsid w:val="7D7F70BD"/>
    <w:rsid w:val="7D815945"/>
    <w:rsid w:val="7D9B687D"/>
    <w:rsid w:val="7DA15156"/>
    <w:rsid w:val="7DB54254"/>
    <w:rsid w:val="7DB960B0"/>
    <w:rsid w:val="7DF1144E"/>
    <w:rsid w:val="7E066BAB"/>
    <w:rsid w:val="7E3354C8"/>
    <w:rsid w:val="7E38594E"/>
    <w:rsid w:val="7E3A3FF6"/>
    <w:rsid w:val="7E3E1EF2"/>
    <w:rsid w:val="7E5E6237"/>
    <w:rsid w:val="7E813B15"/>
    <w:rsid w:val="7E951513"/>
    <w:rsid w:val="7EF74FC9"/>
    <w:rsid w:val="7EFA0438"/>
    <w:rsid w:val="7F1C5072"/>
    <w:rsid w:val="7F2E4098"/>
    <w:rsid w:val="7F39213F"/>
    <w:rsid w:val="7F5777AD"/>
    <w:rsid w:val="7F5D06E2"/>
    <w:rsid w:val="7F9309D6"/>
    <w:rsid w:val="7FB073A4"/>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semiHidden="0" w:uiPriority="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0DE"/>
    <w:pPr>
      <w:spacing w:beforeLines="50" w:afterLines="50"/>
      <w:jc w:val="both"/>
    </w:pPr>
    <w:rPr>
      <w:kern w:val="2"/>
      <w:sz w:val="21"/>
    </w:rPr>
  </w:style>
  <w:style w:type="paragraph" w:styleId="Heading1">
    <w:name w:val="heading 1"/>
    <w:basedOn w:val="Normal"/>
    <w:next w:val="Normal"/>
    <w:qFormat/>
    <w:rsid w:val="004730DE"/>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4730DE"/>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4730DE"/>
    <w:pPr>
      <w:numPr>
        <w:ilvl w:val="2"/>
      </w:numPr>
      <w:spacing w:before="120"/>
      <w:ind w:left="0"/>
      <w:outlineLvl w:val="2"/>
    </w:pPr>
    <w:rPr>
      <w:sz w:val="24"/>
    </w:rPr>
  </w:style>
  <w:style w:type="paragraph" w:styleId="Heading4">
    <w:name w:val="heading 4"/>
    <w:basedOn w:val="Normal"/>
    <w:next w:val="Normal"/>
    <w:uiPriority w:val="9"/>
    <w:qFormat/>
    <w:rsid w:val="004730DE"/>
    <w:pPr>
      <w:keepNext/>
      <w:numPr>
        <w:ilvl w:val="3"/>
        <w:numId w:val="2"/>
      </w:numPr>
      <w:spacing w:before="60" w:after="1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730DE"/>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4730DE"/>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4730DE"/>
    <w:pPr>
      <w:jc w:val="left"/>
    </w:pPr>
  </w:style>
  <w:style w:type="paragraph" w:styleId="List2">
    <w:name w:val="List 2"/>
    <w:basedOn w:val="Normal"/>
    <w:qFormat/>
    <w:rsid w:val="004730DE"/>
    <w:pPr>
      <w:ind w:left="851"/>
    </w:pPr>
  </w:style>
  <w:style w:type="paragraph" w:styleId="TOC3">
    <w:name w:val="toc 3"/>
    <w:basedOn w:val="Normal"/>
    <w:next w:val="Normal"/>
    <w:uiPriority w:val="99"/>
    <w:unhideWhenUsed/>
    <w:qFormat/>
    <w:rsid w:val="004730DE"/>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4730D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4730DE"/>
    <w:pPr>
      <w:tabs>
        <w:tab w:val="center" w:pos="4153"/>
        <w:tab w:val="right" w:pos="8306"/>
      </w:tabs>
      <w:snapToGrid w:val="0"/>
      <w:jc w:val="left"/>
    </w:pPr>
    <w:rPr>
      <w:sz w:val="18"/>
      <w:szCs w:val="18"/>
    </w:rPr>
  </w:style>
  <w:style w:type="paragraph" w:styleId="Header">
    <w:name w:val="header"/>
    <w:basedOn w:val="Normal"/>
    <w:link w:val="HeaderChar"/>
    <w:semiHidden/>
    <w:qFormat/>
    <w:rsid w:val="004730DE"/>
    <w:pPr>
      <w:tabs>
        <w:tab w:val="center" w:pos="4680"/>
        <w:tab w:val="right" w:pos="9360"/>
      </w:tabs>
      <w:spacing w:after="0" w:line="240" w:lineRule="auto"/>
    </w:pPr>
  </w:style>
  <w:style w:type="paragraph" w:styleId="TOC1">
    <w:name w:val="toc 1"/>
    <w:basedOn w:val="Normal"/>
    <w:next w:val="Normal"/>
    <w:uiPriority w:val="39"/>
    <w:unhideWhenUsed/>
    <w:qFormat/>
    <w:rsid w:val="004730DE"/>
    <w:pPr>
      <w:tabs>
        <w:tab w:val="decimal" w:pos="0"/>
        <w:tab w:val="right" w:pos="9660"/>
      </w:tabs>
      <w:ind w:rightChars="200" w:right="420"/>
      <w:jc w:val="left"/>
    </w:pPr>
    <w:rPr>
      <w:rFonts w:eastAsiaTheme="minorEastAsia"/>
      <w:b/>
      <w:bCs/>
      <w:i/>
      <w:iCs/>
      <w:sz w:val="20"/>
    </w:rPr>
  </w:style>
  <w:style w:type="paragraph" w:styleId="List">
    <w:name w:val="List"/>
    <w:basedOn w:val="Normal"/>
    <w:qFormat/>
    <w:rsid w:val="004730DE"/>
    <w:pPr>
      <w:ind w:left="568" w:hanging="284"/>
    </w:pPr>
  </w:style>
  <w:style w:type="paragraph" w:styleId="TableofFigures">
    <w:name w:val="table of figures"/>
    <w:basedOn w:val="Normal"/>
    <w:next w:val="Normal"/>
    <w:uiPriority w:val="99"/>
    <w:semiHidden/>
    <w:unhideWhenUsed/>
    <w:qFormat/>
    <w:rsid w:val="004730DE"/>
    <w:pPr>
      <w:ind w:leftChars="200" w:left="200" w:hangingChars="200" w:hanging="200"/>
    </w:pPr>
  </w:style>
  <w:style w:type="paragraph" w:styleId="TOC2">
    <w:name w:val="toc 2"/>
    <w:basedOn w:val="Normal"/>
    <w:next w:val="Normal"/>
    <w:uiPriority w:val="99"/>
    <w:semiHidden/>
    <w:unhideWhenUsed/>
    <w:qFormat/>
    <w:rsid w:val="004730DE"/>
    <w:pPr>
      <w:tabs>
        <w:tab w:val="right" w:pos="420"/>
      </w:tabs>
      <w:ind w:leftChars="200" w:left="862" w:hangingChars="200" w:hanging="442"/>
      <w:jc w:val="left"/>
    </w:pPr>
    <w:rPr>
      <w:b/>
      <w:i/>
      <w:sz w:val="20"/>
    </w:rPr>
  </w:style>
  <w:style w:type="paragraph" w:styleId="NormalWeb">
    <w:name w:val="Normal (Web)"/>
    <w:basedOn w:val="Normal"/>
    <w:uiPriority w:val="99"/>
    <w:semiHidden/>
    <w:unhideWhenUsed/>
    <w:qFormat/>
    <w:rsid w:val="004730DE"/>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4730DE"/>
    <w:pPr>
      <w:spacing w:line="240" w:lineRule="auto"/>
      <w:jc w:val="both"/>
    </w:pPr>
    <w:rPr>
      <w:b/>
      <w:bCs/>
      <w:sz w:val="20"/>
    </w:rPr>
  </w:style>
  <w:style w:type="table" w:styleId="TableGrid">
    <w:name w:val="Table Grid"/>
    <w:basedOn w:val="TableNormal"/>
    <w:uiPriority w:val="59"/>
    <w:qFormat/>
    <w:rsid w:val="004730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4730DE"/>
    <w:rPr>
      <w:color w:val="0000FF" w:themeColor="hyperlink"/>
      <w:u w:val="single"/>
    </w:rPr>
  </w:style>
  <w:style w:type="character" w:styleId="CommentReference">
    <w:name w:val="annotation reference"/>
    <w:uiPriority w:val="99"/>
    <w:qFormat/>
    <w:rsid w:val="004730DE"/>
    <w:rPr>
      <w:sz w:val="16"/>
    </w:rPr>
  </w:style>
  <w:style w:type="paragraph" w:customStyle="1" w:styleId="YJ-Observation">
    <w:name w:val="YJ-Observation"/>
    <w:basedOn w:val="YJ-Proposal"/>
    <w:qFormat/>
    <w:rsid w:val="004730DE"/>
    <w:pPr>
      <w:numPr>
        <w:numId w:val="3"/>
      </w:numPr>
      <w:tabs>
        <w:tab w:val="left" w:pos="420"/>
      </w:tabs>
    </w:pPr>
  </w:style>
  <w:style w:type="paragraph" w:customStyle="1" w:styleId="YJ-Proposal">
    <w:name w:val="YJ-Proposal"/>
    <w:basedOn w:val="Normal"/>
    <w:qFormat/>
    <w:rsid w:val="004730DE"/>
    <w:pPr>
      <w:numPr>
        <w:numId w:val="4"/>
      </w:numPr>
      <w:jc w:val="left"/>
    </w:pPr>
    <w:rPr>
      <w:rFonts w:eastAsiaTheme="minorEastAsia"/>
      <w:b/>
      <w:bCs/>
      <w:i/>
      <w:iCs/>
      <w:sz w:val="20"/>
      <w:lang w:val="en-GB" w:eastAsia="en-US"/>
    </w:rPr>
  </w:style>
  <w:style w:type="paragraph" w:customStyle="1" w:styleId="YJ--">
    <w:name w:val="YJ--正文"/>
    <w:basedOn w:val="Normal"/>
    <w:qFormat/>
    <w:rsid w:val="004730DE"/>
    <w:pPr>
      <w:spacing w:line="240" w:lineRule="auto"/>
      <w:ind w:firstLineChars="200" w:firstLine="1440"/>
    </w:pPr>
    <w:rPr>
      <w:rFonts w:eastAsia="Times New Roman" w:cs="SimSun"/>
    </w:rPr>
  </w:style>
  <w:style w:type="paragraph" w:customStyle="1" w:styleId="sub-proposal">
    <w:name w:val="sub-proposal"/>
    <w:basedOn w:val="YJ-Proposal"/>
    <w:next w:val="Normal"/>
    <w:qFormat/>
    <w:rsid w:val="004730DE"/>
    <w:pPr>
      <w:numPr>
        <w:numId w:val="5"/>
      </w:numPr>
      <w:tabs>
        <w:tab w:val="left" w:pos="807"/>
      </w:tabs>
      <w:ind w:leftChars="200" w:left="862" w:hangingChars="200" w:hanging="442"/>
    </w:pPr>
  </w:style>
  <w:style w:type="paragraph" w:customStyle="1" w:styleId="sub-observation">
    <w:name w:val="sub-observation"/>
    <w:basedOn w:val="sub-proposal"/>
    <w:next w:val="Normal"/>
    <w:qFormat/>
    <w:rsid w:val="004730DE"/>
  </w:style>
  <w:style w:type="paragraph" w:customStyle="1" w:styleId="3rdlevelproposal">
    <w:name w:val="3rd level proposal"/>
    <w:basedOn w:val="sub-proposal"/>
    <w:next w:val="Normal"/>
    <w:qFormat/>
    <w:rsid w:val="004730DE"/>
    <w:pPr>
      <w:numPr>
        <w:numId w:val="6"/>
      </w:numPr>
      <w:ind w:leftChars="400" w:left="1282" w:hanging="442"/>
    </w:pPr>
  </w:style>
  <w:style w:type="paragraph" w:customStyle="1" w:styleId="3rdlevelobservation">
    <w:name w:val="3rd level observation"/>
    <w:basedOn w:val="sub-observation"/>
    <w:qFormat/>
    <w:rsid w:val="004730DE"/>
    <w:pPr>
      <w:numPr>
        <w:numId w:val="7"/>
      </w:numPr>
      <w:ind w:leftChars="400" w:left="1282" w:hanging="442"/>
    </w:pPr>
  </w:style>
  <w:style w:type="paragraph" w:customStyle="1" w:styleId="References">
    <w:name w:val="References"/>
    <w:basedOn w:val="Normal"/>
    <w:qFormat/>
    <w:rsid w:val="004730DE"/>
    <w:pPr>
      <w:numPr>
        <w:numId w:val="8"/>
      </w:numPr>
      <w:spacing w:after="60"/>
    </w:pPr>
    <w:rPr>
      <w:szCs w:val="16"/>
    </w:rPr>
  </w:style>
  <w:style w:type="paragraph" w:styleId="ListParagraph">
    <w:name w:val="List Paragraph"/>
    <w:basedOn w:val="Normal"/>
    <w:link w:val="ListParagraphChar"/>
    <w:uiPriority w:val="34"/>
    <w:qFormat/>
    <w:rsid w:val="004730DE"/>
    <w:pPr>
      <w:spacing w:beforeLines="0" w:after="0" w:line="240" w:lineRule="auto"/>
      <w:ind w:left="720"/>
      <w:contextualSpacing/>
    </w:pPr>
    <w:rPr>
      <w:rFonts w:eastAsia="Times New Roman"/>
      <w:sz w:val="24"/>
      <w:szCs w:val="24"/>
    </w:rPr>
  </w:style>
  <w:style w:type="paragraph" w:customStyle="1" w:styleId="1">
    <w:name w:val="样式1"/>
    <w:basedOn w:val="Normal"/>
    <w:qFormat/>
    <w:rsid w:val="004730DE"/>
  </w:style>
  <w:style w:type="paragraph" w:customStyle="1" w:styleId="2">
    <w:name w:val="样式2"/>
    <w:basedOn w:val="Normal"/>
    <w:qFormat/>
    <w:rsid w:val="004730DE"/>
  </w:style>
  <w:style w:type="paragraph" w:customStyle="1" w:styleId="Style1">
    <w:name w:val="Style1"/>
    <w:basedOn w:val="Normal"/>
    <w:qFormat/>
    <w:rsid w:val="004730DE"/>
    <w:pPr>
      <w:spacing w:after="100" w:afterAutospacing="1" w:line="300" w:lineRule="auto"/>
      <w:ind w:firstLine="360"/>
      <w:contextualSpacing/>
    </w:pPr>
  </w:style>
  <w:style w:type="character" w:customStyle="1" w:styleId="font21">
    <w:name w:val="font21"/>
    <w:basedOn w:val="DefaultParagraphFont"/>
    <w:qFormat/>
    <w:rsid w:val="004730DE"/>
    <w:rPr>
      <w:rFonts w:ascii="SimSun" w:eastAsia="SimSun" w:hAnsi="SimSun" w:cs="SimSun" w:hint="eastAsia"/>
      <w:color w:val="000000"/>
      <w:sz w:val="20"/>
      <w:szCs w:val="20"/>
      <w:u w:val="none"/>
    </w:rPr>
  </w:style>
  <w:style w:type="character" w:customStyle="1" w:styleId="font11">
    <w:name w:val="font11"/>
    <w:basedOn w:val="DefaultParagraphFont"/>
    <w:qFormat/>
    <w:rsid w:val="004730DE"/>
    <w:rPr>
      <w:rFonts w:ascii="Times New Roman" w:hAnsi="Times New Roman" w:cs="Times New Roman" w:hint="default"/>
      <w:color w:val="000000"/>
      <w:sz w:val="21"/>
      <w:szCs w:val="21"/>
      <w:u w:val="none"/>
    </w:rPr>
  </w:style>
  <w:style w:type="character" w:customStyle="1" w:styleId="font01">
    <w:name w:val="font01"/>
    <w:basedOn w:val="DefaultParagraphFont"/>
    <w:qFormat/>
    <w:rsid w:val="004730DE"/>
    <w:rPr>
      <w:rFonts w:ascii="Times New Roman" w:hAnsi="Times New Roman" w:cs="Times New Roman" w:hint="default"/>
      <w:color w:val="000000"/>
      <w:sz w:val="20"/>
      <w:szCs w:val="20"/>
      <w:u w:val="none"/>
    </w:rPr>
  </w:style>
  <w:style w:type="paragraph" w:customStyle="1" w:styleId="PL">
    <w:name w:val="PL"/>
    <w:qFormat/>
    <w:rsid w:val="00473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List"/>
    <w:link w:val="B1Zchn"/>
    <w:qFormat/>
    <w:rsid w:val="004730DE"/>
  </w:style>
  <w:style w:type="paragraph" w:customStyle="1" w:styleId="TH">
    <w:name w:val="TH"/>
    <w:basedOn w:val="Normal"/>
    <w:qFormat/>
    <w:rsid w:val="004730DE"/>
    <w:pPr>
      <w:keepNext/>
      <w:keepLines/>
      <w:spacing w:before="60"/>
      <w:jc w:val="center"/>
    </w:pPr>
    <w:rPr>
      <w:rFonts w:ascii="Arial" w:hAnsi="Arial"/>
      <w:b/>
    </w:rPr>
  </w:style>
  <w:style w:type="paragraph" w:customStyle="1" w:styleId="TAH">
    <w:name w:val="TAH"/>
    <w:basedOn w:val="TAC"/>
    <w:qFormat/>
    <w:rsid w:val="004730DE"/>
    <w:rPr>
      <w:b/>
    </w:rPr>
  </w:style>
  <w:style w:type="paragraph" w:customStyle="1" w:styleId="TAC">
    <w:name w:val="TAC"/>
    <w:basedOn w:val="TAL"/>
    <w:qFormat/>
    <w:rsid w:val="004730DE"/>
    <w:pPr>
      <w:jc w:val="center"/>
    </w:pPr>
  </w:style>
  <w:style w:type="paragraph" w:customStyle="1" w:styleId="TAL">
    <w:name w:val="TAL"/>
    <w:basedOn w:val="Normal"/>
    <w:qFormat/>
    <w:rsid w:val="004730DE"/>
    <w:pPr>
      <w:keepNext/>
      <w:keepLines/>
      <w:spacing w:after="0"/>
    </w:pPr>
    <w:rPr>
      <w:rFonts w:ascii="Arial" w:hAnsi="Arial"/>
      <w:sz w:val="18"/>
    </w:rPr>
  </w:style>
  <w:style w:type="character" w:customStyle="1" w:styleId="fontstyle01">
    <w:name w:val="fontstyle01"/>
    <w:basedOn w:val="DefaultParagraphFont"/>
    <w:qFormat/>
    <w:rsid w:val="004730DE"/>
    <w:rPr>
      <w:rFonts w:ascii="Times New Roman" w:hAnsi="Times New Roman" w:cs="Times New Roman" w:hint="default"/>
      <w:i/>
      <w:iCs/>
      <w:color w:val="000000"/>
      <w:sz w:val="20"/>
      <w:szCs w:val="20"/>
    </w:rPr>
  </w:style>
  <w:style w:type="paragraph" w:customStyle="1" w:styleId="B2">
    <w:name w:val="B2"/>
    <w:basedOn w:val="List2"/>
    <w:link w:val="B2Char"/>
    <w:qFormat/>
    <w:rsid w:val="004730DE"/>
  </w:style>
  <w:style w:type="character" w:customStyle="1" w:styleId="BalloonTextChar">
    <w:name w:val="Balloon Text Char"/>
    <w:basedOn w:val="DefaultParagraphFont"/>
    <w:link w:val="BalloonText"/>
    <w:uiPriority w:val="99"/>
    <w:semiHidden/>
    <w:qFormat/>
    <w:rsid w:val="004730DE"/>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4730DE"/>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4730DE"/>
    <w:rPr>
      <w:kern w:val="2"/>
      <w:sz w:val="21"/>
    </w:rPr>
  </w:style>
  <w:style w:type="character" w:customStyle="1" w:styleId="CommentSubjectChar">
    <w:name w:val="Comment Subject Char"/>
    <w:basedOn w:val="CommentTextChar"/>
    <w:link w:val="CommentSubject"/>
    <w:qFormat/>
    <w:rsid w:val="004730DE"/>
    <w:rPr>
      <w:kern w:val="2"/>
      <w:sz w:val="21"/>
    </w:rPr>
  </w:style>
  <w:style w:type="paragraph" w:customStyle="1" w:styleId="maintext">
    <w:name w:val="main text"/>
    <w:basedOn w:val="Normal"/>
    <w:qFormat/>
    <w:rsid w:val="004730DE"/>
    <w:pPr>
      <w:spacing w:before="60" w:after="60" w:line="288" w:lineRule="auto"/>
      <w:ind w:firstLineChars="200" w:firstLine="200"/>
    </w:pPr>
    <w:rPr>
      <w:rFonts w:eastAsia="Malgun Gothic"/>
      <w:szCs w:val="24"/>
      <w:lang w:eastAsia="ko-KR"/>
    </w:rPr>
  </w:style>
  <w:style w:type="character" w:customStyle="1" w:styleId="HeaderChar">
    <w:name w:val="Header Char"/>
    <w:basedOn w:val="DefaultParagraphFont"/>
    <w:link w:val="Header"/>
    <w:semiHidden/>
    <w:qFormat/>
    <w:rsid w:val="004730DE"/>
    <w:rPr>
      <w:kern w:val="2"/>
      <w:sz w:val="21"/>
    </w:rPr>
  </w:style>
  <w:style w:type="character" w:customStyle="1" w:styleId="FooterChar">
    <w:name w:val="Footer Char"/>
    <w:basedOn w:val="DefaultParagraphFont"/>
    <w:link w:val="Footer"/>
    <w:uiPriority w:val="99"/>
    <w:qFormat/>
    <w:rsid w:val="004730DE"/>
    <w:rPr>
      <w:kern w:val="2"/>
      <w:sz w:val="18"/>
      <w:szCs w:val="18"/>
    </w:rPr>
  </w:style>
  <w:style w:type="character" w:customStyle="1" w:styleId="B1Zchn">
    <w:name w:val="B1 Zchn"/>
    <w:link w:val="B1"/>
    <w:qFormat/>
    <w:rsid w:val="004730DE"/>
    <w:rPr>
      <w:kern w:val="2"/>
      <w:sz w:val="21"/>
    </w:rPr>
  </w:style>
  <w:style w:type="character" w:customStyle="1" w:styleId="B2Char">
    <w:name w:val="B2 Char"/>
    <w:link w:val="B2"/>
    <w:qFormat/>
    <w:rsid w:val="004730DE"/>
    <w:rPr>
      <w:kern w:val="2"/>
      <w:sz w:val="21"/>
    </w:rPr>
  </w:style>
  <w:style w:type="character" w:customStyle="1" w:styleId="ListParagraphChar">
    <w:name w:val="List Paragraph Char"/>
    <w:link w:val="ListParagraph"/>
    <w:uiPriority w:val="34"/>
    <w:qFormat/>
    <w:rsid w:val="004730DE"/>
    <w:rPr>
      <w:rFonts w:ascii="Times New Roman" w:eastAsia="Times New Roman" w:hAnsi="Times New Roman"/>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9B3E31-7A82-4D51-9E2B-AAA66300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2</Pages>
  <Words>1055</Words>
  <Characters>5771</Characters>
  <Application>Microsoft Office Word</Application>
  <DocSecurity>0</DocSecurity>
  <Lines>90</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113</cp:revision>
  <dcterms:created xsi:type="dcterms:W3CDTF">2019-04-08T03:09:00Z</dcterms:created>
  <dcterms:modified xsi:type="dcterms:W3CDTF">2020-08-07T17:25:00Z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